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CB" w:rsidRPr="00EC1DCB" w:rsidRDefault="004D120D" w:rsidP="00EC1DCB">
      <w:pPr>
        <w:contextualSpacing/>
        <w:jc w:val="center"/>
        <w:rPr>
          <w:snapToGrid w:val="0"/>
          <w:sz w:val="16"/>
          <w:szCs w:val="16"/>
          <w:lang w:eastAsia="en-US"/>
        </w:rPr>
      </w:pPr>
      <w:r w:rsidRPr="004D120D">
        <w:rPr>
          <w:b/>
          <w:noProof/>
          <w:color w:val="0619A2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5.55pt;margin-top:-19.2pt;width:510.75pt;height:226.5pt;z-index:-251656192">
            <v:imagedata r:id="rId7" o:title=""/>
          </v:shape>
          <o:OLEObject Type="Embed" ProgID="PBrush" ShapeID="_x0000_s1027" DrawAspect="Content" ObjectID="_1461671794" r:id="rId8"/>
        </w:pict>
      </w:r>
      <w:r w:rsidR="00EC1DCB" w:rsidRPr="00EC1DCB">
        <w:rPr>
          <w:noProof/>
          <w:szCs w:val="28"/>
        </w:rPr>
        <w:drawing>
          <wp:inline distT="0" distB="0" distL="0" distR="0">
            <wp:extent cx="3647440" cy="6330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44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DCB" w:rsidRPr="00EC1DCB" w:rsidRDefault="00EC1DCB" w:rsidP="00EC1DCB">
      <w:pPr>
        <w:contextualSpacing/>
        <w:jc w:val="center"/>
        <w:rPr>
          <w:snapToGrid w:val="0"/>
          <w:sz w:val="16"/>
          <w:szCs w:val="16"/>
          <w:lang w:eastAsia="en-US"/>
        </w:rPr>
      </w:pPr>
    </w:p>
    <w:p w:rsidR="00EC1DCB" w:rsidRPr="00EC1DCB" w:rsidRDefault="00EC1DCB" w:rsidP="00EC1DCB">
      <w:pPr>
        <w:contextualSpacing/>
        <w:jc w:val="center"/>
        <w:rPr>
          <w:b/>
          <w:color w:val="0619A2"/>
          <w:sz w:val="32"/>
          <w:szCs w:val="32"/>
        </w:rPr>
      </w:pPr>
      <w:r w:rsidRPr="00EC1DCB">
        <w:rPr>
          <w:b/>
          <w:color w:val="0619A2"/>
          <w:sz w:val="32"/>
          <w:szCs w:val="32"/>
        </w:rPr>
        <w:t>ЕВРАЗИЙСКАЯ ЭКОНОМИЧЕСКАЯ КОМИССИЯ</w:t>
      </w:r>
    </w:p>
    <w:p w:rsidR="00EC1DCB" w:rsidRPr="00EC1DCB" w:rsidRDefault="00EC1DCB" w:rsidP="00EC1DCB">
      <w:pPr>
        <w:spacing w:after="200"/>
        <w:jc w:val="center"/>
        <w:rPr>
          <w:b/>
          <w:snapToGrid w:val="0"/>
          <w:color w:val="0619A2"/>
          <w:sz w:val="36"/>
          <w:szCs w:val="36"/>
          <w:lang w:eastAsia="en-US"/>
        </w:rPr>
      </w:pPr>
      <w:r w:rsidRPr="00EC1DCB">
        <w:rPr>
          <w:b/>
          <w:snapToGrid w:val="0"/>
          <w:color w:val="0619A2"/>
          <w:sz w:val="36"/>
          <w:szCs w:val="36"/>
          <w:lang w:eastAsia="en-US"/>
        </w:rPr>
        <w:t>КОЛЛЕГИЯ</w:t>
      </w:r>
    </w:p>
    <w:p w:rsidR="00EC1DCB" w:rsidRPr="00EC1DCB" w:rsidRDefault="004D120D" w:rsidP="00EC1DCB">
      <w:pPr>
        <w:ind w:firstLine="709"/>
        <w:jc w:val="both"/>
        <w:rPr>
          <w:sz w:val="30"/>
          <w:szCs w:val="30"/>
        </w:rPr>
      </w:pPr>
      <w:r w:rsidRPr="004D120D">
        <w:rPr>
          <w:rFonts w:eastAsia="Calibri"/>
          <w:noProof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.1pt;margin-top:.15pt;width:467.05pt;height:0;z-index:251659264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" strokecolor="#0619a2" strokeweight="2.25pt"/>
        </w:pict>
      </w:r>
    </w:p>
    <w:p w:rsidR="00EC1DCB" w:rsidRPr="00EC1DCB" w:rsidRDefault="00EC1DCB" w:rsidP="00EC1DCB">
      <w:pPr>
        <w:ind w:firstLine="709"/>
        <w:jc w:val="both"/>
        <w:rPr>
          <w:sz w:val="30"/>
          <w:szCs w:val="30"/>
        </w:rPr>
      </w:pPr>
    </w:p>
    <w:p w:rsidR="00EC1DCB" w:rsidRPr="00EC1DCB" w:rsidRDefault="00EC1DCB" w:rsidP="00EC1DCB">
      <w:pPr>
        <w:contextualSpacing/>
        <w:jc w:val="center"/>
        <w:rPr>
          <w:b/>
          <w:snapToGrid w:val="0"/>
          <w:spacing w:val="80"/>
          <w:sz w:val="30"/>
          <w:szCs w:val="30"/>
          <w:lang w:eastAsia="en-US"/>
        </w:rPr>
      </w:pPr>
      <w:r w:rsidRPr="00EC1DCB">
        <w:rPr>
          <w:b/>
          <w:snapToGrid w:val="0"/>
          <w:spacing w:val="80"/>
          <w:sz w:val="30"/>
          <w:szCs w:val="30"/>
          <w:lang w:eastAsia="en-US"/>
        </w:rPr>
        <w:t>РЕШЕНИЕ</w:t>
      </w:r>
    </w:p>
    <w:p w:rsidR="00EC1DCB" w:rsidRPr="00EC1DCB" w:rsidRDefault="00EC1DCB" w:rsidP="00EC1DCB">
      <w:pPr>
        <w:ind w:firstLine="709"/>
        <w:jc w:val="both"/>
        <w:rPr>
          <w:sz w:val="30"/>
          <w:szCs w:val="30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544"/>
        <w:gridCol w:w="2126"/>
        <w:gridCol w:w="3793"/>
      </w:tblGrid>
      <w:tr w:rsidR="00EC1DCB" w:rsidRPr="00EC1DCB" w:rsidTr="001A0C0E">
        <w:tc>
          <w:tcPr>
            <w:tcW w:w="3544" w:type="dxa"/>
            <w:shd w:val="clear" w:color="auto" w:fill="auto"/>
          </w:tcPr>
          <w:p w:rsidR="00EC1DCB" w:rsidRPr="00EC1DCB" w:rsidRDefault="00EC1DCB" w:rsidP="00EC1DCB">
            <w:pPr>
              <w:tabs>
                <w:tab w:val="left" w:pos="7088"/>
              </w:tabs>
              <w:autoSpaceDE w:val="0"/>
              <w:autoSpaceDN w:val="0"/>
              <w:adjustRightInd w:val="0"/>
              <w:ind w:left="-113"/>
              <w:jc w:val="both"/>
              <w:rPr>
                <w:bCs/>
                <w:sz w:val="30"/>
                <w:szCs w:val="30"/>
              </w:rPr>
            </w:pPr>
            <w:r w:rsidRPr="00EC1DCB">
              <w:rPr>
                <w:bCs/>
                <w:sz w:val="30"/>
                <w:szCs w:val="30"/>
              </w:rPr>
              <w:t>«</w:t>
            </w:r>
            <w:r w:rsidRPr="00EC1DCB">
              <w:rPr>
                <w:rFonts w:cstheme="minorBidi"/>
                <w:bCs/>
                <w:sz w:val="30"/>
                <w:szCs w:val="30"/>
              </w:rPr>
              <w:t>13</w:t>
            </w:r>
            <w:r w:rsidRPr="00EC1DCB">
              <w:rPr>
                <w:bCs/>
                <w:sz w:val="30"/>
                <w:szCs w:val="30"/>
              </w:rPr>
              <w:t>» мая 2014 г.</w:t>
            </w:r>
          </w:p>
        </w:tc>
        <w:tc>
          <w:tcPr>
            <w:tcW w:w="2126" w:type="dxa"/>
            <w:shd w:val="clear" w:color="auto" w:fill="auto"/>
          </w:tcPr>
          <w:p w:rsidR="00EC1DCB" w:rsidRPr="00EC1DCB" w:rsidRDefault="00EC1DCB" w:rsidP="00EC1DCB">
            <w:pPr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30"/>
                <w:szCs w:val="30"/>
              </w:rPr>
            </w:pPr>
            <w:r w:rsidRPr="00EC1DCB">
              <w:rPr>
                <w:b/>
                <w:bCs/>
                <w:sz w:val="30"/>
                <w:szCs w:val="30"/>
              </w:rPr>
              <w:t xml:space="preserve">         № </w:t>
            </w:r>
            <w:r>
              <w:rPr>
                <w:b/>
                <w:bCs/>
                <w:sz w:val="30"/>
                <w:szCs w:val="30"/>
              </w:rPr>
              <w:t>70</w:t>
            </w:r>
            <w:bookmarkStart w:id="0" w:name="_GoBack"/>
            <w:bookmarkEnd w:id="0"/>
          </w:p>
        </w:tc>
        <w:tc>
          <w:tcPr>
            <w:tcW w:w="3793" w:type="dxa"/>
            <w:shd w:val="clear" w:color="auto" w:fill="auto"/>
          </w:tcPr>
          <w:p w:rsidR="00EC1DCB" w:rsidRPr="00EC1DCB" w:rsidRDefault="00EC1DCB" w:rsidP="00EC1DCB">
            <w:pPr>
              <w:tabs>
                <w:tab w:val="left" w:pos="3578"/>
                <w:tab w:val="left" w:pos="7088"/>
              </w:tabs>
              <w:autoSpaceDE w:val="0"/>
              <w:autoSpaceDN w:val="0"/>
              <w:adjustRightInd w:val="0"/>
              <w:ind w:left="176" w:right="-1" w:hanging="176"/>
              <w:jc w:val="right"/>
              <w:rPr>
                <w:bCs/>
                <w:sz w:val="30"/>
                <w:szCs w:val="30"/>
              </w:rPr>
            </w:pPr>
            <w:r w:rsidRPr="00EC1DCB">
              <w:rPr>
                <w:bCs/>
                <w:sz w:val="30"/>
                <w:szCs w:val="30"/>
              </w:rPr>
              <w:t xml:space="preserve">   г. Москва</w:t>
            </w:r>
          </w:p>
        </w:tc>
      </w:tr>
    </w:tbl>
    <w:p w:rsidR="00EC1DCB" w:rsidRPr="00EC1DCB" w:rsidRDefault="00EC1DCB" w:rsidP="00EC1DCB">
      <w:pPr>
        <w:contextualSpacing/>
        <w:jc w:val="center"/>
        <w:rPr>
          <w:snapToGrid w:val="0"/>
          <w:sz w:val="30"/>
          <w:szCs w:val="30"/>
          <w:lang w:eastAsia="en-US"/>
        </w:rPr>
      </w:pPr>
    </w:p>
    <w:p w:rsidR="00EC1DCB" w:rsidRPr="00EC1DCB" w:rsidRDefault="00EC1DCB" w:rsidP="00EC1DCB">
      <w:pPr>
        <w:contextualSpacing/>
        <w:jc w:val="center"/>
        <w:rPr>
          <w:snapToGrid w:val="0"/>
          <w:sz w:val="30"/>
          <w:szCs w:val="30"/>
          <w:lang w:eastAsia="en-US"/>
        </w:rPr>
      </w:pPr>
    </w:p>
    <w:p w:rsidR="00FC588C" w:rsidRDefault="00FC588C" w:rsidP="009A13AE">
      <w:pPr>
        <w:contextualSpacing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Об утверждении </w:t>
      </w:r>
      <w:r>
        <w:rPr>
          <w:b/>
          <w:color w:val="000000"/>
          <w:sz w:val="30"/>
          <w:szCs w:val="30"/>
        </w:rPr>
        <w:t xml:space="preserve">перечня </w:t>
      </w:r>
      <w:r>
        <w:rPr>
          <w:b/>
          <w:sz w:val="30"/>
          <w:szCs w:val="30"/>
        </w:rPr>
        <w:t xml:space="preserve">продукции (изделий), в отношении которой подача таможенной декларации сопровождается представлением документа об оценке (подтверждении) соответствия требованиям технического регламента Таможенного союза </w:t>
      </w:r>
      <w:r>
        <w:rPr>
          <w:b/>
          <w:sz w:val="30"/>
          <w:szCs w:val="30"/>
        </w:rPr>
        <w:br/>
        <w:t xml:space="preserve">«О безопасности взрывчатых веществ и изделий на их основе» </w:t>
      </w:r>
      <w:r>
        <w:rPr>
          <w:b/>
          <w:sz w:val="30"/>
          <w:szCs w:val="30"/>
        </w:rPr>
        <w:br/>
      </w:r>
      <w:r>
        <w:rPr>
          <w:b/>
          <w:color w:val="000000"/>
          <w:sz w:val="30"/>
          <w:szCs w:val="30"/>
        </w:rPr>
        <w:t>(</w:t>
      </w:r>
      <w:proofErr w:type="gramStart"/>
      <w:r>
        <w:rPr>
          <w:b/>
          <w:color w:val="000000"/>
          <w:sz w:val="30"/>
          <w:szCs w:val="30"/>
        </w:rPr>
        <w:t>ТР</w:t>
      </w:r>
      <w:proofErr w:type="gramEnd"/>
      <w:r>
        <w:rPr>
          <w:b/>
          <w:color w:val="000000"/>
          <w:sz w:val="30"/>
          <w:szCs w:val="30"/>
        </w:rPr>
        <w:t xml:space="preserve"> ТС 028/2012)</w:t>
      </w:r>
    </w:p>
    <w:p w:rsidR="00FC588C" w:rsidRDefault="00FC588C" w:rsidP="00FC588C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bookmarkStart w:id="1" w:name="sub_1"/>
    </w:p>
    <w:p w:rsidR="00FC588C" w:rsidRDefault="00FC588C" w:rsidP="00FC588C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2"/>
          <w:sz w:val="30"/>
          <w:szCs w:val="30"/>
        </w:rPr>
      </w:pPr>
      <w:r>
        <w:rPr>
          <w:color w:val="000000"/>
          <w:sz w:val="30"/>
          <w:szCs w:val="30"/>
        </w:rPr>
        <w:t xml:space="preserve">В соответствии со статьей 3 Договора о Евразийской экономической комиссии от 18 ноября 2011 года Коллегия Евразийской экономической комиссии </w:t>
      </w:r>
      <w:r w:rsidRPr="00B86C72">
        <w:rPr>
          <w:b/>
          <w:color w:val="000000"/>
          <w:spacing w:val="40"/>
          <w:sz w:val="30"/>
          <w:szCs w:val="30"/>
        </w:rPr>
        <w:t>решил</w:t>
      </w:r>
      <w:r>
        <w:rPr>
          <w:b/>
          <w:color w:val="000000"/>
          <w:sz w:val="30"/>
          <w:szCs w:val="30"/>
        </w:rPr>
        <w:t>а:</w:t>
      </w:r>
    </w:p>
    <w:p w:rsidR="00FC588C" w:rsidRPr="005807F0" w:rsidRDefault="00FC588C" w:rsidP="005807F0">
      <w:pPr>
        <w:pStyle w:val="a9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z w:val="30"/>
          <w:szCs w:val="30"/>
        </w:rPr>
      </w:pPr>
      <w:r w:rsidRPr="005807F0">
        <w:rPr>
          <w:color w:val="000000"/>
          <w:sz w:val="30"/>
          <w:szCs w:val="30"/>
        </w:rPr>
        <w:t xml:space="preserve">Утвердить прилагаемый перечень продукции (изделий), </w:t>
      </w:r>
      <w:r w:rsidRPr="005807F0">
        <w:rPr>
          <w:color w:val="000000"/>
          <w:sz w:val="30"/>
          <w:szCs w:val="30"/>
        </w:rPr>
        <w:br/>
        <w:t xml:space="preserve">в отношении которой подача таможенной декларации сопровождается представлением документа </w:t>
      </w:r>
      <w:r w:rsidRPr="005807F0">
        <w:rPr>
          <w:color w:val="000000"/>
          <w:sz w:val="30"/>
          <w:szCs w:val="30"/>
        </w:rPr>
        <w:lastRenderedPageBreak/>
        <w:t xml:space="preserve">об оценке (подтверждении) соответствия требованиям технического регламента Таможенного </w:t>
      </w:r>
      <w:r w:rsidR="005807F0">
        <w:rPr>
          <w:color w:val="000000"/>
          <w:sz w:val="30"/>
          <w:szCs w:val="30"/>
        </w:rPr>
        <w:t xml:space="preserve">союза </w:t>
      </w:r>
      <w:r w:rsidRPr="005807F0">
        <w:rPr>
          <w:color w:val="000000"/>
          <w:sz w:val="30"/>
          <w:szCs w:val="30"/>
        </w:rPr>
        <w:t xml:space="preserve">«О безопасности взрывчатых веществ и изделий на их основе» </w:t>
      </w:r>
      <w:r w:rsidRPr="005807F0">
        <w:rPr>
          <w:color w:val="000000"/>
          <w:sz w:val="30"/>
          <w:szCs w:val="30"/>
        </w:rPr>
        <w:br/>
        <w:t>(</w:t>
      </w:r>
      <w:proofErr w:type="gramStart"/>
      <w:r w:rsidRPr="005807F0">
        <w:rPr>
          <w:color w:val="000000"/>
          <w:sz w:val="30"/>
          <w:szCs w:val="30"/>
        </w:rPr>
        <w:t>ТР</w:t>
      </w:r>
      <w:proofErr w:type="gramEnd"/>
      <w:r w:rsidRPr="005807F0">
        <w:rPr>
          <w:color w:val="000000"/>
          <w:sz w:val="30"/>
          <w:szCs w:val="30"/>
        </w:rPr>
        <w:t xml:space="preserve"> ТС 028/2012). </w:t>
      </w:r>
    </w:p>
    <w:p w:rsidR="00FC588C" w:rsidRDefault="00FC588C" w:rsidP="00FC588C">
      <w:pPr>
        <w:shd w:val="clear" w:color="auto" w:fill="FFFFFF"/>
        <w:spacing w:line="360" w:lineRule="auto"/>
        <w:ind w:firstLine="680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2. Настоящее Решение вступает в силу </w:t>
      </w:r>
      <w:r w:rsidR="00066F17">
        <w:rPr>
          <w:color w:val="000000"/>
          <w:sz w:val="30"/>
          <w:szCs w:val="30"/>
        </w:rPr>
        <w:t>с</w:t>
      </w:r>
      <w:r w:rsidR="003C1799">
        <w:rPr>
          <w:color w:val="000000"/>
          <w:sz w:val="30"/>
          <w:szCs w:val="30"/>
        </w:rPr>
        <w:t xml:space="preserve"> 1 июля 2014 г</w:t>
      </w:r>
      <w:r w:rsidR="00066F17">
        <w:rPr>
          <w:color w:val="000000"/>
          <w:sz w:val="30"/>
          <w:szCs w:val="30"/>
        </w:rPr>
        <w:t xml:space="preserve">. </w:t>
      </w:r>
    </w:p>
    <w:bookmarkEnd w:id="1"/>
    <w:p w:rsidR="00FC588C" w:rsidRDefault="00FC588C" w:rsidP="00FC588C">
      <w:pPr>
        <w:ind w:firstLine="658"/>
        <w:jc w:val="both"/>
        <w:rPr>
          <w:color w:val="000000"/>
          <w:sz w:val="30"/>
          <w:szCs w:val="30"/>
        </w:rPr>
      </w:pPr>
    </w:p>
    <w:p w:rsidR="00066F17" w:rsidRDefault="00066F17" w:rsidP="00FC588C">
      <w:pPr>
        <w:ind w:firstLine="658"/>
        <w:jc w:val="both"/>
        <w:rPr>
          <w:color w:val="000000"/>
          <w:sz w:val="30"/>
          <w:szCs w:val="30"/>
        </w:rPr>
      </w:pPr>
    </w:p>
    <w:tbl>
      <w:tblPr>
        <w:tblW w:w="0" w:type="auto"/>
        <w:tblLook w:val="04A0"/>
      </w:tblPr>
      <w:tblGrid>
        <w:gridCol w:w="5196"/>
        <w:gridCol w:w="4374"/>
      </w:tblGrid>
      <w:tr w:rsidR="00FC588C" w:rsidRPr="00D9696A" w:rsidTr="007E2A8A">
        <w:tc>
          <w:tcPr>
            <w:tcW w:w="5196" w:type="dxa"/>
            <w:shd w:val="clear" w:color="auto" w:fill="auto"/>
          </w:tcPr>
          <w:p w:rsidR="00FC588C" w:rsidRPr="00E967BF" w:rsidRDefault="00FC588C" w:rsidP="007E2A8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30"/>
                <w:szCs w:val="30"/>
              </w:rPr>
            </w:pPr>
            <w:r w:rsidRPr="00E967BF">
              <w:rPr>
                <w:color w:val="000000"/>
                <w:sz w:val="30"/>
                <w:szCs w:val="30"/>
              </w:rPr>
              <w:t>Председатель Коллегии</w:t>
            </w:r>
          </w:p>
          <w:p w:rsidR="00FC588C" w:rsidRPr="00E967BF" w:rsidRDefault="00FC588C" w:rsidP="007E2A8A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30"/>
                <w:szCs w:val="30"/>
              </w:rPr>
            </w:pPr>
            <w:r w:rsidRPr="00E967BF">
              <w:rPr>
                <w:color w:val="000000"/>
                <w:sz w:val="30"/>
                <w:szCs w:val="30"/>
              </w:rPr>
              <w:t>Евразийской экономической комиссии</w:t>
            </w:r>
          </w:p>
        </w:tc>
        <w:tc>
          <w:tcPr>
            <w:tcW w:w="4374" w:type="dxa"/>
            <w:shd w:val="clear" w:color="auto" w:fill="auto"/>
          </w:tcPr>
          <w:p w:rsidR="00FC588C" w:rsidRPr="00E967BF" w:rsidRDefault="00FC588C" w:rsidP="007E2A8A">
            <w:pPr>
              <w:autoSpaceDE w:val="0"/>
              <w:autoSpaceDN w:val="0"/>
              <w:adjustRightInd w:val="0"/>
              <w:jc w:val="both"/>
              <w:outlineLvl w:val="0"/>
              <w:rPr>
                <w:sz w:val="30"/>
                <w:szCs w:val="30"/>
              </w:rPr>
            </w:pPr>
          </w:p>
          <w:p w:rsidR="00FC588C" w:rsidRPr="00E967BF" w:rsidRDefault="00FC588C" w:rsidP="007E2A8A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sz w:val="30"/>
                <w:szCs w:val="30"/>
              </w:rPr>
            </w:pPr>
            <w:r w:rsidRPr="00E967BF">
              <w:rPr>
                <w:sz w:val="30"/>
                <w:szCs w:val="30"/>
              </w:rPr>
              <w:t>В. Христенко</w:t>
            </w:r>
          </w:p>
        </w:tc>
      </w:tr>
    </w:tbl>
    <w:p w:rsidR="003F355F" w:rsidRDefault="003F355F" w:rsidP="00E6088D"/>
    <w:tbl>
      <w:tblPr>
        <w:tblW w:w="0" w:type="auto"/>
        <w:tblInd w:w="392" w:type="dxa"/>
        <w:tblLook w:val="04A0"/>
      </w:tblPr>
      <w:tblGrid>
        <w:gridCol w:w="6457"/>
        <w:gridCol w:w="7883"/>
      </w:tblGrid>
      <w:tr w:rsidR="005807F0" w:rsidRPr="008E32C0" w:rsidTr="00CA46D5">
        <w:tc>
          <w:tcPr>
            <w:tcW w:w="6457" w:type="dxa"/>
          </w:tcPr>
          <w:p w:rsidR="005807F0" w:rsidRPr="008E32C0" w:rsidRDefault="005807F0" w:rsidP="00CA46D5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7883" w:type="dxa"/>
            <w:hideMark/>
          </w:tcPr>
          <w:p w:rsidR="005807F0" w:rsidRPr="008E32C0" w:rsidRDefault="005807F0" w:rsidP="00CA46D5">
            <w:pPr>
              <w:spacing w:line="360" w:lineRule="auto"/>
              <w:ind w:left="2197"/>
              <w:jc w:val="center"/>
              <w:rPr>
                <w:rFonts w:eastAsia="Calibri"/>
                <w:bCs/>
                <w:kern w:val="36"/>
                <w:sz w:val="30"/>
                <w:szCs w:val="30"/>
              </w:rPr>
            </w:pPr>
            <w:r w:rsidRPr="008E32C0">
              <w:rPr>
                <w:rFonts w:eastAsia="Calibri"/>
                <w:bCs/>
                <w:kern w:val="36"/>
                <w:sz w:val="30"/>
                <w:szCs w:val="30"/>
              </w:rPr>
              <w:t>УТВЕРЖДЕН</w:t>
            </w:r>
          </w:p>
          <w:p w:rsidR="005807F0" w:rsidRPr="008E32C0" w:rsidRDefault="005807F0" w:rsidP="00CA46D5">
            <w:pPr>
              <w:ind w:left="2197"/>
              <w:jc w:val="center"/>
              <w:rPr>
                <w:rFonts w:eastAsia="Calibri"/>
                <w:bCs/>
                <w:kern w:val="36"/>
                <w:sz w:val="30"/>
                <w:szCs w:val="30"/>
              </w:rPr>
            </w:pPr>
            <w:r w:rsidRPr="008E32C0">
              <w:rPr>
                <w:rFonts w:eastAsia="Calibri"/>
                <w:bCs/>
                <w:kern w:val="36"/>
                <w:sz w:val="30"/>
                <w:szCs w:val="30"/>
              </w:rPr>
              <w:t xml:space="preserve">Решением Коллегии </w:t>
            </w:r>
          </w:p>
          <w:p w:rsidR="005807F0" w:rsidRPr="008E32C0" w:rsidRDefault="005807F0" w:rsidP="00CA46D5">
            <w:pPr>
              <w:ind w:left="2197"/>
              <w:jc w:val="center"/>
              <w:rPr>
                <w:rFonts w:eastAsia="Calibri"/>
                <w:bCs/>
                <w:kern w:val="36"/>
                <w:sz w:val="30"/>
                <w:szCs w:val="30"/>
              </w:rPr>
            </w:pPr>
            <w:r w:rsidRPr="008E32C0">
              <w:rPr>
                <w:rFonts w:eastAsia="Calibri"/>
                <w:bCs/>
                <w:kern w:val="36"/>
                <w:sz w:val="30"/>
                <w:szCs w:val="30"/>
              </w:rPr>
              <w:t>Евразийской экономической комиссии</w:t>
            </w:r>
          </w:p>
          <w:p w:rsidR="005807F0" w:rsidRPr="008E32C0" w:rsidRDefault="005807F0" w:rsidP="00CA46D5">
            <w:pPr>
              <w:ind w:left="2197"/>
              <w:jc w:val="center"/>
              <w:rPr>
                <w:rFonts w:eastAsia="Calibri"/>
                <w:bCs/>
                <w:kern w:val="36"/>
                <w:sz w:val="30"/>
                <w:szCs w:val="30"/>
              </w:rPr>
            </w:pPr>
            <w:r>
              <w:rPr>
                <w:rFonts w:eastAsia="Calibri"/>
                <w:bCs/>
                <w:kern w:val="36"/>
                <w:sz w:val="30"/>
                <w:szCs w:val="30"/>
              </w:rPr>
              <w:t xml:space="preserve">   от 13 мая </w:t>
            </w:r>
            <w:r w:rsidRPr="008E32C0">
              <w:rPr>
                <w:rFonts w:eastAsia="Calibri"/>
                <w:bCs/>
                <w:kern w:val="36"/>
                <w:sz w:val="30"/>
                <w:szCs w:val="30"/>
              </w:rPr>
              <w:t>201</w:t>
            </w:r>
            <w:r>
              <w:rPr>
                <w:rFonts w:eastAsia="Calibri"/>
                <w:bCs/>
                <w:kern w:val="36"/>
                <w:sz w:val="30"/>
                <w:szCs w:val="30"/>
              </w:rPr>
              <w:t>4 г. № 70</w:t>
            </w:r>
            <w:r w:rsidRPr="008E32C0">
              <w:rPr>
                <w:rFonts w:eastAsia="Calibri"/>
                <w:bCs/>
                <w:kern w:val="36"/>
                <w:sz w:val="30"/>
                <w:szCs w:val="30"/>
              </w:rPr>
              <w:t xml:space="preserve"> </w:t>
            </w:r>
          </w:p>
        </w:tc>
      </w:tr>
    </w:tbl>
    <w:p w:rsidR="005807F0" w:rsidRPr="004D7C1A" w:rsidRDefault="005807F0" w:rsidP="005807F0">
      <w:pPr>
        <w:pStyle w:val="1"/>
        <w:widowControl/>
        <w:adjustRightInd w:val="0"/>
        <w:rPr>
          <w:rFonts w:ascii="Times New Roman" w:hAnsi="Times New Roman"/>
          <w:b/>
          <w:sz w:val="22"/>
          <w:szCs w:val="32"/>
        </w:rPr>
      </w:pPr>
    </w:p>
    <w:p w:rsidR="005807F0" w:rsidRPr="00384C19" w:rsidRDefault="005807F0" w:rsidP="005807F0">
      <w:pPr>
        <w:pStyle w:val="1"/>
        <w:widowControl/>
        <w:adjustRightInd w:val="0"/>
        <w:rPr>
          <w:rFonts w:ascii="Times New Roman" w:hAnsi="Times New Roman"/>
          <w:b/>
          <w:sz w:val="30"/>
          <w:szCs w:val="30"/>
        </w:rPr>
      </w:pPr>
      <w:proofErr w:type="gramStart"/>
      <w:r w:rsidRPr="00384C19">
        <w:rPr>
          <w:rFonts w:ascii="Times New Roman" w:hAnsi="Times New Roman"/>
          <w:b/>
          <w:sz w:val="30"/>
          <w:szCs w:val="30"/>
        </w:rPr>
        <w:t>П</w:t>
      </w:r>
      <w:proofErr w:type="gramEnd"/>
      <w:r w:rsidRPr="00384C19">
        <w:rPr>
          <w:rFonts w:ascii="Times New Roman" w:hAnsi="Times New Roman"/>
          <w:b/>
          <w:sz w:val="30"/>
          <w:szCs w:val="30"/>
        </w:rPr>
        <w:t xml:space="preserve"> Е Р Е Ч Е Н Ь</w:t>
      </w:r>
    </w:p>
    <w:p w:rsidR="005807F0" w:rsidRPr="00384C19" w:rsidRDefault="005807F0" w:rsidP="005807F0">
      <w:pPr>
        <w:pStyle w:val="1"/>
        <w:widowControl/>
        <w:adjustRightInd w:val="0"/>
        <w:rPr>
          <w:rFonts w:ascii="Times New Roman" w:hAnsi="Times New Roman" w:cs="Times New Roman"/>
          <w:b/>
          <w:sz w:val="30"/>
          <w:szCs w:val="30"/>
        </w:rPr>
      </w:pPr>
      <w:r w:rsidRPr="00384C19">
        <w:rPr>
          <w:rFonts w:ascii="Times New Roman" w:hAnsi="Times New Roman"/>
          <w:b/>
          <w:sz w:val="30"/>
          <w:szCs w:val="30"/>
        </w:rPr>
        <w:t>продукции (изделий), в отношении которой подача таможенной декларации сопровождается представлением документа об оценке (подтверждении) соответствия требованиям технического регламента Таможенного союза «О безопасности</w:t>
      </w:r>
      <w:r>
        <w:rPr>
          <w:rFonts w:ascii="Times New Roman" w:hAnsi="Times New Roman"/>
          <w:b/>
          <w:sz w:val="30"/>
          <w:szCs w:val="30"/>
        </w:rPr>
        <w:t xml:space="preserve"> взрывчатых веществ и изделий на их основе</w:t>
      </w:r>
      <w:r w:rsidRPr="00384C19">
        <w:rPr>
          <w:rFonts w:ascii="Times New Roman" w:hAnsi="Times New Roman"/>
          <w:b/>
          <w:sz w:val="30"/>
          <w:szCs w:val="30"/>
        </w:rPr>
        <w:t xml:space="preserve">» </w:t>
      </w:r>
      <w:r>
        <w:rPr>
          <w:rFonts w:ascii="Times New Roman" w:hAnsi="Times New Roman"/>
          <w:b/>
          <w:sz w:val="30"/>
          <w:szCs w:val="30"/>
        </w:rPr>
        <w:br/>
        <w:t>(</w:t>
      </w:r>
      <w:proofErr w:type="gramStart"/>
      <w:r>
        <w:rPr>
          <w:rFonts w:ascii="Times New Roman" w:hAnsi="Times New Roman"/>
          <w:b/>
          <w:sz w:val="30"/>
          <w:szCs w:val="30"/>
        </w:rPr>
        <w:t>ТР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ТС 028</w:t>
      </w:r>
      <w:r w:rsidRPr="00384C19">
        <w:rPr>
          <w:rFonts w:ascii="Times New Roman" w:hAnsi="Times New Roman"/>
          <w:b/>
          <w:sz w:val="30"/>
          <w:szCs w:val="30"/>
        </w:rPr>
        <w:t>/2012)</w:t>
      </w:r>
      <w:r w:rsidRPr="00384C19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5807F0" w:rsidRDefault="005807F0" w:rsidP="005807F0">
      <w:pPr>
        <w:pStyle w:val="1"/>
        <w:widowControl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5097"/>
        <w:gridCol w:w="6"/>
        <w:gridCol w:w="2397"/>
        <w:gridCol w:w="12"/>
        <w:gridCol w:w="4394"/>
        <w:gridCol w:w="2411"/>
      </w:tblGrid>
      <w:tr w:rsidR="005807F0" w:rsidRPr="004D7C1A" w:rsidTr="00CA46D5">
        <w:trPr>
          <w:tblHeader/>
        </w:trPr>
        <w:tc>
          <w:tcPr>
            <w:tcW w:w="5097" w:type="dxa"/>
            <w:tcBorders>
              <w:bottom w:val="single" w:sz="4" w:space="0" w:color="auto"/>
            </w:tcBorders>
            <w:shd w:val="clear" w:color="auto" w:fill="FFFFFF"/>
          </w:tcPr>
          <w:p w:rsidR="005807F0" w:rsidRPr="004D7C1A" w:rsidRDefault="005807F0" w:rsidP="00CA46D5">
            <w:pPr>
              <w:jc w:val="center"/>
              <w:rPr>
                <w:bCs/>
                <w:szCs w:val="28"/>
              </w:rPr>
            </w:pPr>
          </w:p>
          <w:p w:rsidR="005807F0" w:rsidRPr="004D7C1A" w:rsidRDefault="005807F0" w:rsidP="00CA46D5">
            <w:pPr>
              <w:jc w:val="center"/>
              <w:rPr>
                <w:bCs/>
                <w:szCs w:val="28"/>
              </w:rPr>
            </w:pPr>
            <w:r w:rsidRPr="004D7C1A">
              <w:rPr>
                <w:bCs/>
                <w:szCs w:val="28"/>
              </w:rPr>
              <w:t>Наименование продукции (изделия)</w:t>
            </w:r>
          </w:p>
          <w:p w:rsidR="005807F0" w:rsidRPr="004D7C1A" w:rsidRDefault="005807F0" w:rsidP="00CA46D5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41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807F0" w:rsidRPr="004D7C1A" w:rsidRDefault="005807F0" w:rsidP="00CA46D5">
            <w:pPr>
              <w:jc w:val="center"/>
              <w:rPr>
                <w:bCs/>
                <w:szCs w:val="28"/>
              </w:rPr>
            </w:pPr>
          </w:p>
          <w:p w:rsidR="005807F0" w:rsidRPr="004D7C1A" w:rsidRDefault="005807F0" w:rsidP="00CA46D5">
            <w:pPr>
              <w:jc w:val="center"/>
              <w:rPr>
                <w:bCs/>
                <w:szCs w:val="28"/>
              </w:rPr>
            </w:pPr>
            <w:r w:rsidRPr="004D7C1A">
              <w:rPr>
                <w:bCs/>
                <w:szCs w:val="28"/>
              </w:rPr>
              <w:t>Код ТН ВЭД ТС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5807F0" w:rsidRPr="004D7C1A" w:rsidRDefault="005807F0" w:rsidP="00CA46D5">
            <w:pPr>
              <w:jc w:val="center"/>
              <w:rPr>
                <w:bCs/>
                <w:szCs w:val="28"/>
              </w:rPr>
            </w:pPr>
            <w:r w:rsidRPr="004D7C1A">
              <w:rPr>
                <w:szCs w:val="28"/>
              </w:rPr>
              <w:t xml:space="preserve">Документ об оценке (подтверждении) соответствия 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FFFFF"/>
          </w:tcPr>
          <w:p w:rsidR="005807F0" w:rsidRPr="004D7C1A" w:rsidRDefault="005807F0" w:rsidP="00CA46D5">
            <w:pPr>
              <w:jc w:val="center"/>
              <w:rPr>
                <w:bCs/>
                <w:szCs w:val="28"/>
              </w:rPr>
            </w:pPr>
          </w:p>
          <w:p w:rsidR="005807F0" w:rsidRPr="004D7C1A" w:rsidRDefault="005807F0" w:rsidP="00CA46D5">
            <w:pPr>
              <w:jc w:val="center"/>
              <w:rPr>
                <w:bCs/>
                <w:szCs w:val="28"/>
              </w:rPr>
            </w:pPr>
            <w:r w:rsidRPr="004D7C1A">
              <w:rPr>
                <w:bCs/>
                <w:szCs w:val="28"/>
              </w:rPr>
              <w:t>Примечание</w:t>
            </w:r>
          </w:p>
        </w:tc>
      </w:tr>
      <w:tr w:rsidR="005807F0" w:rsidRPr="004D7C1A" w:rsidTr="00CA46D5">
        <w:trPr>
          <w:tblHeader/>
        </w:trPr>
        <w:tc>
          <w:tcPr>
            <w:tcW w:w="5097" w:type="dxa"/>
            <w:tcBorders>
              <w:bottom w:val="single" w:sz="4" w:space="0" w:color="auto"/>
            </w:tcBorders>
            <w:shd w:val="clear" w:color="auto" w:fill="FFFFFF"/>
          </w:tcPr>
          <w:p w:rsidR="005807F0" w:rsidRPr="004D7C1A" w:rsidRDefault="005807F0" w:rsidP="00CA46D5">
            <w:pPr>
              <w:jc w:val="center"/>
              <w:rPr>
                <w:bCs/>
                <w:szCs w:val="28"/>
              </w:rPr>
            </w:pPr>
            <w:r w:rsidRPr="004D7C1A">
              <w:rPr>
                <w:bCs/>
                <w:szCs w:val="28"/>
              </w:rPr>
              <w:t>1</w:t>
            </w:r>
          </w:p>
        </w:tc>
        <w:tc>
          <w:tcPr>
            <w:tcW w:w="241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807F0" w:rsidRPr="004D7C1A" w:rsidRDefault="005807F0" w:rsidP="00CA46D5">
            <w:pPr>
              <w:jc w:val="center"/>
              <w:rPr>
                <w:bCs/>
                <w:szCs w:val="28"/>
              </w:rPr>
            </w:pPr>
            <w:r w:rsidRPr="004D7C1A">
              <w:rPr>
                <w:bCs/>
                <w:szCs w:val="28"/>
              </w:rPr>
              <w:t>2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5807F0" w:rsidRPr="004D7C1A" w:rsidRDefault="005807F0" w:rsidP="00CA46D5">
            <w:pPr>
              <w:jc w:val="center"/>
              <w:rPr>
                <w:szCs w:val="28"/>
              </w:rPr>
            </w:pPr>
            <w:r w:rsidRPr="004D7C1A">
              <w:rPr>
                <w:szCs w:val="28"/>
              </w:rPr>
              <w:t>3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FFFFF"/>
          </w:tcPr>
          <w:p w:rsidR="005807F0" w:rsidRPr="004D7C1A" w:rsidRDefault="005807F0" w:rsidP="00CA46D5">
            <w:pPr>
              <w:jc w:val="center"/>
              <w:rPr>
                <w:bCs/>
                <w:szCs w:val="28"/>
              </w:rPr>
            </w:pPr>
            <w:r w:rsidRPr="004D7C1A">
              <w:rPr>
                <w:bCs/>
                <w:szCs w:val="28"/>
              </w:rPr>
              <w:t>4</w:t>
            </w:r>
          </w:p>
        </w:tc>
      </w:tr>
      <w:tr w:rsidR="005807F0" w:rsidRPr="004D7C1A" w:rsidTr="00CA46D5">
        <w:trPr>
          <w:tblHeader/>
        </w:trPr>
        <w:tc>
          <w:tcPr>
            <w:tcW w:w="143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807F0" w:rsidRPr="004D7C1A" w:rsidRDefault="005807F0" w:rsidP="00CA46D5">
            <w:pPr>
              <w:jc w:val="center"/>
              <w:rPr>
                <w:bCs/>
                <w:sz w:val="16"/>
                <w:szCs w:val="28"/>
              </w:rPr>
            </w:pPr>
          </w:p>
        </w:tc>
      </w:tr>
      <w:tr w:rsidR="005807F0" w:rsidRPr="004D7C1A" w:rsidTr="00CA46D5">
        <w:trPr>
          <w:trHeight w:val="521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07F0" w:rsidRPr="004D7C1A" w:rsidRDefault="005807F0" w:rsidP="00CA46D5">
            <w:pPr>
              <w:rPr>
                <w:rStyle w:val="CharStyle23"/>
                <w:color w:val="000000"/>
                <w:szCs w:val="28"/>
                <w:lang/>
              </w:rPr>
            </w:pPr>
            <w:r w:rsidRPr="004D7C1A">
              <w:rPr>
                <w:rStyle w:val="CharStyle23"/>
                <w:color w:val="000000"/>
                <w:szCs w:val="28"/>
                <w:lang/>
              </w:rPr>
              <w:lastRenderedPageBreak/>
              <w:t>1. Порох, используемый в</w:t>
            </w:r>
            <w:r w:rsidRPr="004D7C1A">
              <w:rPr>
                <w:rStyle w:val="CharStyle23"/>
                <w:color w:val="000000"/>
                <w:szCs w:val="28"/>
                <w:lang/>
              </w:rPr>
              <w:br/>
              <w:t>промышленных целях</w:t>
            </w:r>
          </w:p>
          <w:p w:rsidR="005807F0" w:rsidRPr="004D7C1A" w:rsidRDefault="005807F0" w:rsidP="00CA46D5">
            <w:pPr>
              <w:spacing w:line="360" w:lineRule="auto"/>
              <w:rPr>
                <w:szCs w:val="28"/>
                <w:lang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07F0" w:rsidRPr="004D7C1A" w:rsidRDefault="005807F0" w:rsidP="00CA46D5">
            <w:pPr>
              <w:jc w:val="center"/>
              <w:rPr>
                <w:szCs w:val="28"/>
              </w:rPr>
            </w:pPr>
            <w:r w:rsidRPr="004D7C1A">
              <w:rPr>
                <w:rStyle w:val="CharStyle21"/>
                <w:color w:val="000000"/>
                <w:szCs w:val="28"/>
                <w:lang/>
              </w:rPr>
              <w:t>3601 00 000 0</w:t>
            </w:r>
          </w:p>
        </w:tc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07F0" w:rsidRPr="004D7C1A" w:rsidRDefault="005807F0" w:rsidP="00CA46D5">
            <w:pPr>
              <w:jc w:val="center"/>
              <w:rPr>
                <w:szCs w:val="28"/>
              </w:rPr>
            </w:pPr>
            <w:r w:rsidRPr="004D7C1A">
              <w:rPr>
                <w:szCs w:val="28"/>
              </w:rPr>
              <w:t>сертификат соответствия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07F0" w:rsidRPr="004D7C1A" w:rsidRDefault="005807F0" w:rsidP="00CA46D5">
            <w:pPr>
              <w:ind w:right="9105"/>
              <w:rPr>
                <w:szCs w:val="28"/>
              </w:rPr>
            </w:pPr>
          </w:p>
        </w:tc>
      </w:tr>
      <w:tr w:rsidR="005807F0" w:rsidRPr="004D7C1A" w:rsidTr="00CA46D5">
        <w:trPr>
          <w:trHeight w:val="865"/>
        </w:trPr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07F0" w:rsidRPr="004D7C1A" w:rsidRDefault="005807F0" w:rsidP="00CA46D5">
            <w:pPr>
              <w:pStyle w:val="Style22"/>
              <w:shd w:val="clear" w:color="auto" w:fill="auto"/>
              <w:spacing w:after="0" w:line="240" w:lineRule="auto"/>
              <w:jc w:val="left"/>
              <w:rPr>
                <w:rStyle w:val="CharStyle23"/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4D7C1A">
              <w:rPr>
                <w:rStyle w:val="CharStyle23"/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 xml:space="preserve">2. Вещества взрывчатые готовые </w:t>
            </w:r>
            <w:r>
              <w:rPr>
                <w:rStyle w:val="CharStyle23"/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(</w:t>
            </w:r>
            <w:r w:rsidRPr="004D7C1A">
              <w:rPr>
                <w:rStyle w:val="CharStyle23"/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кроме пороха</w:t>
            </w:r>
            <w:r>
              <w:rPr>
                <w:rStyle w:val="CharStyle23"/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)</w:t>
            </w:r>
            <w:r w:rsidRPr="004D7C1A">
              <w:rPr>
                <w:rStyle w:val="CharStyle23"/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, в том числе:</w:t>
            </w:r>
          </w:p>
          <w:p w:rsidR="005807F0" w:rsidRPr="004D7C1A" w:rsidRDefault="005807F0" w:rsidP="00CA46D5">
            <w:pPr>
              <w:pStyle w:val="Style22"/>
              <w:shd w:val="clear" w:color="auto" w:fill="auto"/>
              <w:spacing w:after="0" w:line="360" w:lineRule="auto"/>
              <w:jc w:val="left"/>
              <w:rPr>
                <w:rStyle w:val="CharStyle23"/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</w:pPr>
          </w:p>
          <w:p w:rsidR="005807F0" w:rsidRPr="004D7C1A" w:rsidRDefault="005807F0" w:rsidP="00CA46D5">
            <w:pPr>
              <w:pStyle w:val="Style22"/>
              <w:shd w:val="clear" w:color="auto" w:fill="auto"/>
              <w:tabs>
                <w:tab w:val="left" w:pos="976"/>
              </w:tabs>
              <w:spacing w:after="0" w:line="240" w:lineRule="auto"/>
              <w:ind w:left="459"/>
              <w:jc w:val="left"/>
              <w:rPr>
                <w:rStyle w:val="CharStyle23"/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4D7C1A">
              <w:rPr>
                <w:rStyle w:val="CharStyle23"/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непредохранительные взрывчатые вещества I и II классов</w:t>
            </w:r>
          </w:p>
          <w:p w:rsidR="005807F0" w:rsidRPr="004D7C1A" w:rsidRDefault="005807F0" w:rsidP="00CA46D5">
            <w:pPr>
              <w:pStyle w:val="Style22"/>
              <w:shd w:val="clear" w:color="auto" w:fill="auto"/>
              <w:tabs>
                <w:tab w:val="left" w:pos="976"/>
              </w:tabs>
              <w:spacing w:after="0" w:line="360" w:lineRule="auto"/>
              <w:jc w:val="left"/>
              <w:rPr>
                <w:rStyle w:val="CharStyle23"/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</w:pPr>
          </w:p>
          <w:p w:rsidR="005807F0" w:rsidRPr="004D7C1A" w:rsidRDefault="005807F0" w:rsidP="00CA46D5">
            <w:pPr>
              <w:pStyle w:val="Style22"/>
              <w:shd w:val="clear" w:color="auto" w:fill="auto"/>
              <w:tabs>
                <w:tab w:val="left" w:pos="876"/>
              </w:tabs>
              <w:spacing w:after="0" w:line="240" w:lineRule="auto"/>
              <w:ind w:left="459"/>
              <w:jc w:val="left"/>
              <w:rPr>
                <w:rStyle w:val="CharStyle23"/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4D7C1A">
              <w:rPr>
                <w:rStyle w:val="CharStyle23"/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 xml:space="preserve">предохранительные взрывчатые </w:t>
            </w:r>
          </w:p>
          <w:p w:rsidR="005807F0" w:rsidRPr="004D7C1A" w:rsidRDefault="005807F0" w:rsidP="00CA46D5">
            <w:pPr>
              <w:pStyle w:val="Style22"/>
              <w:shd w:val="clear" w:color="auto" w:fill="auto"/>
              <w:tabs>
                <w:tab w:val="left" w:pos="876"/>
              </w:tabs>
              <w:spacing w:after="0" w:line="240" w:lineRule="auto"/>
              <w:ind w:left="459"/>
              <w:jc w:val="left"/>
              <w:rPr>
                <w:rStyle w:val="CharStyle23"/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4D7C1A">
              <w:rPr>
                <w:rStyle w:val="CharStyle23"/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вещества III класса</w:t>
            </w:r>
          </w:p>
          <w:p w:rsidR="005807F0" w:rsidRPr="004D7C1A" w:rsidRDefault="005807F0" w:rsidP="00CA46D5">
            <w:pPr>
              <w:pStyle w:val="Style22"/>
              <w:shd w:val="clear" w:color="auto" w:fill="auto"/>
              <w:tabs>
                <w:tab w:val="left" w:pos="876"/>
              </w:tabs>
              <w:spacing w:after="0" w:line="240" w:lineRule="auto"/>
              <w:ind w:left="459"/>
              <w:jc w:val="left"/>
              <w:rPr>
                <w:rStyle w:val="CharStyle23"/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4D7C1A">
              <w:rPr>
                <w:rStyle w:val="CharStyle23"/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предохранительные взрывчатые вещества IV класса</w:t>
            </w:r>
          </w:p>
          <w:p w:rsidR="005807F0" w:rsidRPr="004D7C1A" w:rsidRDefault="005807F0" w:rsidP="00CA46D5">
            <w:pPr>
              <w:pStyle w:val="Style22"/>
              <w:shd w:val="clear" w:color="auto" w:fill="auto"/>
              <w:tabs>
                <w:tab w:val="left" w:pos="876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  <w:p w:rsidR="005807F0" w:rsidRPr="004D7C1A" w:rsidRDefault="005807F0" w:rsidP="00CA46D5">
            <w:pPr>
              <w:pStyle w:val="Style22"/>
              <w:shd w:val="clear" w:color="auto" w:fill="auto"/>
              <w:tabs>
                <w:tab w:val="left" w:pos="876"/>
              </w:tabs>
              <w:spacing w:after="0" w:line="240" w:lineRule="auto"/>
              <w:ind w:left="459"/>
              <w:jc w:val="left"/>
              <w:rPr>
                <w:rStyle w:val="CharStyle23"/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4D7C1A">
              <w:rPr>
                <w:rStyle w:val="CharStyle23"/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предохранительные взрывчатые вещества V класса</w:t>
            </w:r>
          </w:p>
          <w:p w:rsidR="005807F0" w:rsidRPr="004D7C1A" w:rsidRDefault="005807F0" w:rsidP="00CA46D5">
            <w:pPr>
              <w:pStyle w:val="Style22"/>
              <w:shd w:val="clear" w:color="auto" w:fill="auto"/>
              <w:tabs>
                <w:tab w:val="left" w:pos="876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F0" w:rsidRPr="004D7C1A" w:rsidRDefault="005807F0" w:rsidP="00CA46D5">
            <w:pPr>
              <w:pStyle w:val="Style22"/>
              <w:shd w:val="clear" w:color="auto" w:fill="auto"/>
              <w:tabs>
                <w:tab w:val="left" w:pos="876"/>
              </w:tabs>
              <w:spacing w:after="0" w:line="240" w:lineRule="auto"/>
              <w:ind w:left="459"/>
              <w:jc w:val="left"/>
              <w:rPr>
                <w:rStyle w:val="CharStyle23"/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4D7C1A">
              <w:rPr>
                <w:rStyle w:val="CharStyle23"/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предохранительные взрывчатые вещества VI класса</w:t>
            </w:r>
          </w:p>
          <w:p w:rsidR="005807F0" w:rsidRPr="004D7C1A" w:rsidRDefault="005807F0" w:rsidP="00CA46D5">
            <w:pPr>
              <w:pStyle w:val="Style22"/>
              <w:shd w:val="clear" w:color="auto" w:fill="auto"/>
              <w:tabs>
                <w:tab w:val="left" w:pos="876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F0" w:rsidRPr="001527D1" w:rsidRDefault="005807F0" w:rsidP="00CA46D5">
            <w:pPr>
              <w:pStyle w:val="Style22"/>
              <w:shd w:val="clear" w:color="auto" w:fill="auto"/>
              <w:tabs>
                <w:tab w:val="left" w:pos="866"/>
              </w:tabs>
              <w:spacing w:after="0" w:line="240" w:lineRule="auto"/>
              <w:ind w:left="459"/>
              <w:jc w:val="left"/>
              <w:rPr>
                <w:rStyle w:val="CharStyle23"/>
                <w:rFonts w:ascii="Times New Roman" w:eastAsiaTheme="minorEastAsia" w:hAnsi="Times New Roman" w:cs="Times New Roman"/>
                <w:color w:val="000000"/>
                <w:sz w:val="28"/>
                <w:szCs w:val="28"/>
                <w:lang/>
              </w:rPr>
            </w:pPr>
            <w:r w:rsidRPr="004D7C1A">
              <w:rPr>
                <w:rStyle w:val="CharStyle23"/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 xml:space="preserve">предохранительные взрывчатые </w:t>
            </w:r>
            <w:r w:rsidRPr="004D7C1A">
              <w:rPr>
                <w:rStyle w:val="CharStyle23"/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lastRenderedPageBreak/>
              <w:t xml:space="preserve">вещества VII класса и изделия из предохранительных взрывчатых веществ </w:t>
            </w:r>
            <w:r w:rsidRPr="004D7C1A">
              <w:rPr>
                <w:rStyle w:val="CharStyle23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m:oMath>
              <m:r>
                <w:rPr>
                  <w:rStyle w:val="CharStyle23"/>
                  <w:rFonts w:ascii="Cambria Math" w:hAnsi="Cambria Math" w:cs="Times New Roman"/>
                  <w:color w:val="000000"/>
                  <w:sz w:val="28"/>
                  <w:szCs w:val="28"/>
                </w:rPr>
                <m:t xml:space="preserve"> ‒ </m:t>
              </m:r>
            </m:oMath>
            <w:r w:rsidRPr="004D7C1A">
              <w:rPr>
                <w:rStyle w:val="CharStyle23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</w:t>
            </w:r>
            <w:r w:rsidRPr="004D7C1A">
              <w:rPr>
                <w:rStyle w:val="CharStyle2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D7C1A">
              <w:rPr>
                <w:rStyle w:val="CharStyle23"/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классов</w:t>
            </w:r>
          </w:p>
          <w:p w:rsidR="005807F0" w:rsidRPr="004D7C1A" w:rsidRDefault="005807F0" w:rsidP="00CA46D5">
            <w:pPr>
              <w:pStyle w:val="Style22"/>
              <w:shd w:val="clear" w:color="auto" w:fill="auto"/>
              <w:tabs>
                <w:tab w:val="left" w:pos="866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F0" w:rsidRPr="004D7C1A" w:rsidRDefault="005807F0" w:rsidP="00CA46D5">
            <w:pPr>
              <w:pStyle w:val="Style22"/>
              <w:shd w:val="clear" w:color="auto" w:fill="auto"/>
              <w:tabs>
                <w:tab w:val="left" w:pos="961"/>
              </w:tabs>
              <w:spacing w:after="0" w:line="240" w:lineRule="auto"/>
              <w:ind w:left="459"/>
              <w:jc w:val="left"/>
              <w:rPr>
                <w:rStyle w:val="CharStyle23"/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4D7C1A">
              <w:rPr>
                <w:rStyle w:val="CharStyle23"/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непредохранительные и предохранительные взрывчатые вещества и изделия на их основе специального (С) класса 1</w:t>
            </w:r>
            <w:r>
              <w:rPr>
                <w:rStyle w:val="CharStyle23"/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 xml:space="preserve"> </w:t>
            </w:r>
            <w:r w:rsidRPr="001527D1">
              <w:rPr>
                <w:rStyle w:val="CharStyle23"/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‒</w:t>
            </w:r>
            <w:r>
              <w:rPr>
                <w:rStyle w:val="CharStyle23"/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 xml:space="preserve"> </w:t>
            </w:r>
            <w:r w:rsidRPr="004D7C1A">
              <w:rPr>
                <w:rStyle w:val="CharStyle23"/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4 групп</w:t>
            </w:r>
          </w:p>
          <w:p w:rsidR="005807F0" w:rsidRDefault="005807F0" w:rsidP="00CA46D5">
            <w:pPr>
              <w:pStyle w:val="Style22"/>
              <w:shd w:val="clear" w:color="auto" w:fill="auto"/>
              <w:tabs>
                <w:tab w:val="left" w:pos="961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F0" w:rsidRPr="004D7C1A" w:rsidRDefault="005807F0" w:rsidP="00CA46D5">
            <w:pPr>
              <w:pStyle w:val="Style22"/>
              <w:shd w:val="clear" w:color="auto" w:fill="auto"/>
              <w:tabs>
                <w:tab w:val="left" w:pos="961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F0" w:rsidRDefault="005807F0" w:rsidP="00CA46D5">
            <w:pPr>
              <w:pStyle w:val="Style22"/>
              <w:shd w:val="clear" w:color="auto" w:fill="auto"/>
              <w:spacing w:after="0" w:line="240" w:lineRule="auto"/>
              <w:jc w:val="left"/>
              <w:rPr>
                <w:rStyle w:val="CharStyle23"/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3"/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3. В</w:t>
            </w:r>
            <w:r w:rsidRPr="004D7C1A">
              <w:rPr>
                <w:rStyle w:val="CharStyle23"/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ещества взрывчатые бризантные промышленного назначения</w:t>
            </w:r>
          </w:p>
          <w:p w:rsidR="005807F0" w:rsidRPr="004D7C1A" w:rsidRDefault="005807F0" w:rsidP="00CA46D5">
            <w:pPr>
              <w:pStyle w:val="Style22"/>
              <w:shd w:val="clear" w:color="auto" w:fill="auto"/>
              <w:spacing w:after="0" w:line="360" w:lineRule="auto"/>
              <w:jc w:val="left"/>
              <w:rPr>
                <w:rStyle w:val="CharStyle23"/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</w:pPr>
          </w:p>
          <w:p w:rsidR="005807F0" w:rsidRPr="004D7C1A" w:rsidRDefault="005807F0" w:rsidP="00CA46D5">
            <w:pPr>
              <w:rPr>
                <w:rStyle w:val="CharStyle23"/>
                <w:color w:val="000000"/>
                <w:szCs w:val="28"/>
                <w:lang/>
              </w:rPr>
            </w:pPr>
            <w:r>
              <w:rPr>
                <w:rStyle w:val="CharStyle23"/>
                <w:color w:val="000000"/>
                <w:szCs w:val="28"/>
                <w:lang/>
              </w:rPr>
              <w:t>4. И</w:t>
            </w:r>
            <w:r w:rsidRPr="004D7C1A">
              <w:rPr>
                <w:rStyle w:val="CharStyle23"/>
                <w:color w:val="000000"/>
                <w:szCs w:val="28"/>
                <w:lang/>
              </w:rPr>
              <w:t>зделия из бризантных взрывчатых веще</w:t>
            </w:r>
            <w:proofErr w:type="gramStart"/>
            <w:r w:rsidRPr="004D7C1A">
              <w:rPr>
                <w:rStyle w:val="CharStyle23"/>
                <w:color w:val="000000"/>
                <w:szCs w:val="28"/>
                <w:lang/>
              </w:rPr>
              <w:t>ств пр</w:t>
            </w:r>
            <w:proofErr w:type="gramEnd"/>
            <w:r w:rsidRPr="004D7C1A">
              <w:rPr>
                <w:rStyle w:val="CharStyle23"/>
                <w:color w:val="000000"/>
                <w:szCs w:val="28"/>
                <w:lang/>
              </w:rPr>
              <w:t>омышленного назначения</w:t>
            </w:r>
          </w:p>
          <w:p w:rsidR="005807F0" w:rsidRPr="004D7C1A" w:rsidRDefault="005807F0" w:rsidP="00CA46D5">
            <w:pPr>
              <w:spacing w:line="360" w:lineRule="auto"/>
              <w:rPr>
                <w:rStyle w:val="CharStyle23"/>
                <w:color w:val="000000"/>
                <w:szCs w:val="28"/>
                <w:lang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07F0" w:rsidRPr="004D7C1A" w:rsidRDefault="005807F0" w:rsidP="00CA46D5">
            <w:pPr>
              <w:jc w:val="center"/>
              <w:rPr>
                <w:rStyle w:val="CharStyle21"/>
                <w:color w:val="000000"/>
                <w:szCs w:val="28"/>
                <w:lang/>
              </w:rPr>
            </w:pPr>
            <w:r w:rsidRPr="004D7C1A">
              <w:rPr>
                <w:rStyle w:val="CharStyle21"/>
                <w:color w:val="000000"/>
                <w:szCs w:val="28"/>
                <w:lang/>
              </w:rPr>
              <w:lastRenderedPageBreak/>
              <w:t>3602 00 000 0</w:t>
            </w:r>
          </w:p>
          <w:p w:rsidR="005807F0" w:rsidRPr="004D7C1A" w:rsidRDefault="005807F0" w:rsidP="00CA46D5">
            <w:pPr>
              <w:jc w:val="center"/>
              <w:rPr>
                <w:rStyle w:val="CharStyle21"/>
                <w:color w:val="000000"/>
                <w:szCs w:val="28"/>
                <w:lang/>
              </w:rPr>
            </w:pPr>
          </w:p>
          <w:p w:rsidR="005807F0" w:rsidRPr="004D7C1A" w:rsidRDefault="005807F0" w:rsidP="00CA46D5">
            <w:pPr>
              <w:jc w:val="center"/>
              <w:rPr>
                <w:rStyle w:val="CharStyle21"/>
                <w:color w:val="000000"/>
                <w:szCs w:val="28"/>
                <w:lang/>
              </w:rPr>
            </w:pPr>
          </w:p>
          <w:p w:rsidR="005807F0" w:rsidRPr="004D7C1A" w:rsidRDefault="005807F0" w:rsidP="00CA46D5">
            <w:pPr>
              <w:jc w:val="center"/>
              <w:rPr>
                <w:rStyle w:val="CharStyle21"/>
                <w:color w:val="000000"/>
                <w:szCs w:val="28"/>
                <w:lang/>
              </w:rPr>
            </w:pPr>
          </w:p>
          <w:p w:rsidR="005807F0" w:rsidRPr="004D7C1A" w:rsidRDefault="005807F0" w:rsidP="00CA46D5">
            <w:pPr>
              <w:jc w:val="center"/>
              <w:rPr>
                <w:rStyle w:val="CharStyle21"/>
                <w:color w:val="000000"/>
                <w:szCs w:val="28"/>
                <w:lang/>
              </w:rPr>
            </w:pPr>
          </w:p>
          <w:p w:rsidR="005807F0" w:rsidRPr="004D7C1A" w:rsidRDefault="005807F0" w:rsidP="00CA46D5">
            <w:pPr>
              <w:jc w:val="center"/>
              <w:rPr>
                <w:rStyle w:val="CharStyle21"/>
                <w:color w:val="000000"/>
                <w:szCs w:val="28"/>
                <w:lang/>
              </w:rPr>
            </w:pPr>
          </w:p>
          <w:p w:rsidR="005807F0" w:rsidRPr="004D7C1A" w:rsidRDefault="005807F0" w:rsidP="00CA46D5">
            <w:pPr>
              <w:jc w:val="center"/>
              <w:rPr>
                <w:rStyle w:val="CharStyle21"/>
                <w:color w:val="000000"/>
                <w:szCs w:val="28"/>
                <w:lang/>
              </w:rPr>
            </w:pPr>
          </w:p>
          <w:p w:rsidR="005807F0" w:rsidRPr="004D7C1A" w:rsidRDefault="005807F0" w:rsidP="00CA46D5">
            <w:pPr>
              <w:jc w:val="center"/>
              <w:rPr>
                <w:rStyle w:val="CharStyle21"/>
                <w:color w:val="000000"/>
                <w:szCs w:val="28"/>
                <w:lang/>
              </w:rPr>
            </w:pPr>
          </w:p>
          <w:p w:rsidR="005807F0" w:rsidRPr="004D7C1A" w:rsidRDefault="005807F0" w:rsidP="00CA46D5">
            <w:pPr>
              <w:jc w:val="center"/>
              <w:rPr>
                <w:rStyle w:val="CharStyle21"/>
                <w:color w:val="000000"/>
                <w:szCs w:val="28"/>
                <w:lang/>
              </w:rPr>
            </w:pPr>
          </w:p>
          <w:p w:rsidR="005807F0" w:rsidRPr="004D7C1A" w:rsidRDefault="005807F0" w:rsidP="00CA46D5">
            <w:pPr>
              <w:jc w:val="center"/>
              <w:rPr>
                <w:rStyle w:val="CharStyle21"/>
                <w:color w:val="000000"/>
                <w:szCs w:val="28"/>
                <w:lang/>
              </w:rPr>
            </w:pPr>
          </w:p>
          <w:p w:rsidR="005807F0" w:rsidRPr="004D7C1A" w:rsidRDefault="005807F0" w:rsidP="00CA46D5">
            <w:pPr>
              <w:jc w:val="center"/>
              <w:rPr>
                <w:rStyle w:val="CharStyle21"/>
                <w:szCs w:val="28"/>
              </w:rPr>
            </w:pPr>
          </w:p>
          <w:p w:rsidR="005807F0" w:rsidRPr="004D7C1A" w:rsidRDefault="005807F0" w:rsidP="00CA46D5">
            <w:pPr>
              <w:jc w:val="center"/>
              <w:rPr>
                <w:rStyle w:val="CharStyle21"/>
                <w:szCs w:val="28"/>
              </w:rPr>
            </w:pPr>
          </w:p>
          <w:p w:rsidR="005807F0" w:rsidRPr="004D7C1A" w:rsidRDefault="005807F0" w:rsidP="00CA46D5">
            <w:pPr>
              <w:jc w:val="center"/>
              <w:rPr>
                <w:rStyle w:val="CharStyle21"/>
                <w:szCs w:val="28"/>
              </w:rPr>
            </w:pPr>
          </w:p>
          <w:p w:rsidR="005807F0" w:rsidRPr="004D7C1A" w:rsidRDefault="005807F0" w:rsidP="00CA46D5">
            <w:pPr>
              <w:jc w:val="center"/>
              <w:rPr>
                <w:rStyle w:val="CharStyle21"/>
                <w:szCs w:val="28"/>
              </w:rPr>
            </w:pPr>
          </w:p>
          <w:p w:rsidR="005807F0" w:rsidRPr="004D7C1A" w:rsidRDefault="005807F0" w:rsidP="00CA46D5">
            <w:pPr>
              <w:jc w:val="center"/>
              <w:rPr>
                <w:rStyle w:val="CharStyle21"/>
                <w:szCs w:val="28"/>
              </w:rPr>
            </w:pPr>
          </w:p>
          <w:p w:rsidR="005807F0" w:rsidRPr="004D7C1A" w:rsidRDefault="005807F0" w:rsidP="00CA46D5">
            <w:pPr>
              <w:jc w:val="center"/>
              <w:rPr>
                <w:rStyle w:val="CharStyle21"/>
                <w:szCs w:val="28"/>
              </w:rPr>
            </w:pPr>
          </w:p>
          <w:p w:rsidR="005807F0" w:rsidRPr="004D7C1A" w:rsidRDefault="005807F0" w:rsidP="00CA46D5">
            <w:pPr>
              <w:jc w:val="center"/>
              <w:rPr>
                <w:rStyle w:val="CharStyle21"/>
                <w:szCs w:val="28"/>
              </w:rPr>
            </w:pPr>
          </w:p>
          <w:p w:rsidR="005807F0" w:rsidRPr="004D7C1A" w:rsidRDefault="005807F0" w:rsidP="00CA46D5">
            <w:pPr>
              <w:jc w:val="center"/>
              <w:rPr>
                <w:rStyle w:val="CharStyle21"/>
                <w:szCs w:val="28"/>
              </w:rPr>
            </w:pPr>
          </w:p>
          <w:p w:rsidR="005807F0" w:rsidRPr="004D7C1A" w:rsidRDefault="005807F0" w:rsidP="00CA46D5">
            <w:pPr>
              <w:jc w:val="center"/>
              <w:rPr>
                <w:rStyle w:val="CharStyle21"/>
                <w:szCs w:val="28"/>
              </w:rPr>
            </w:pPr>
          </w:p>
          <w:p w:rsidR="005807F0" w:rsidRPr="004D7C1A" w:rsidRDefault="005807F0" w:rsidP="00CA46D5">
            <w:pPr>
              <w:jc w:val="center"/>
              <w:rPr>
                <w:rStyle w:val="CharStyle21"/>
                <w:szCs w:val="28"/>
              </w:rPr>
            </w:pPr>
          </w:p>
          <w:p w:rsidR="005807F0" w:rsidRPr="004D7C1A" w:rsidRDefault="005807F0" w:rsidP="00CA46D5">
            <w:pPr>
              <w:jc w:val="center"/>
              <w:rPr>
                <w:rStyle w:val="CharStyle21"/>
                <w:szCs w:val="28"/>
              </w:rPr>
            </w:pPr>
          </w:p>
          <w:p w:rsidR="005807F0" w:rsidRPr="004D7C1A" w:rsidRDefault="005807F0" w:rsidP="00CA46D5">
            <w:pPr>
              <w:jc w:val="center"/>
              <w:rPr>
                <w:rStyle w:val="CharStyle21"/>
                <w:szCs w:val="28"/>
              </w:rPr>
            </w:pPr>
          </w:p>
          <w:p w:rsidR="005807F0" w:rsidRPr="004D7C1A" w:rsidRDefault="005807F0" w:rsidP="00CA46D5">
            <w:pPr>
              <w:jc w:val="center"/>
              <w:rPr>
                <w:rStyle w:val="CharStyle21"/>
                <w:szCs w:val="28"/>
              </w:rPr>
            </w:pPr>
          </w:p>
          <w:p w:rsidR="005807F0" w:rsidRPr="004D7C1A" w:rsidRDefault="005807F0" w:rsidP="00CA46D5">
            <w:pPr>
              <w:jc w:val="center"/>
              <w:rPr>
                <w:rStyle w:val="CharStyle21"/>
                <w:szCs w:val="28"/>
              </w:rPr>
            </w:pPr>
          </w:p>
          <w:p w:rsidR="005807F0" w:rsidRPr="004D7C1A" w:rsidRDefault="005807F0" w:rsidP="00CA46D5">
            <w:pPr>
              <w:jc w:val="center"/>
              <w:rPr>
                <w:rStyle w:val="CharStyle21"/>
                <w:szCs w:val="28"/>
              </w:rPr>
            </w:pPr>
          </w:p>
          <w:p w:rsidR="005807F0" w:rsidRPr="004D7C1A" w:rsidRDefault="005807F0" w:rsidP="00CA46D5">
            <w:pPr>
              <w:jc w:val="center"/>
              <w:rPr>
                <w:rStyle w:val="CharStyle21"/>
                <w:sz w:val="44"/>
                <w:szCs w:val="28"/>
              </w:rPr>
            </w:pPr>
          </w:p>
          <w:p w:rsidR="005807F0" w:rsidRPr="004D7C1A" w:rsidRDefault="005807F0" w:rsidP="00CA46D5">
            <w:pPr>
              <w:jc w:val="center"/>
              <w:rPr>
                <w:rStyle w:val="CharStyle21"/>
                <w:szCs w:val="28"/>
              </w:rPr>
            </w:pPr>
          </w:p>
          <w:p w:rsidR="005807F0" w:rsidRPr="004D7C1A" w:rsidRDefault="005807F0" w:rsidP="00CA46D5">
            <w:pPr>
              <w:jc w:val="center"/>
              <w:rPr>
                <w:rStyle w:val="CharStyle21"/>
                <w:szCs w:val="28"/>
              </w:rPr>
            </w:pPr>
          </w:p>
          <w:p w:rsidR="005807F0" w:rsidRDefault="005807F0" w:rsidP="00CA46D5">
            <w:pPr>
              <w:jc w:val="center"/>
              <w:rPr>
                <w:rStyle w:val="CharStyle21"/>
                <w:szCs w:val="28"/>
              </w:rPr>
            </w:pPr>
          </w:p>
          <w:p w:rsidR="005807F0" w:rsidRPr="004D7C1A" w:rsidRDefault="005807F0" w:rsidP="00CA46D5">
            <w:pPr>
              <w:jc w:val="center"/>
              <w:rPr>
                <w:rStyle w:val="CharStyle21"/>
                <w:szCs w:val="28"/>
              </w:rPr>
            </w:pPr>
          </w:p>
          <w:p w:rsidR="005807F0" w:rsidRPr="004D7C1A" w:rsidRDefault="005807F0" w:rsidP="00CA46D5">
            <w:pPr>
              <w:jc w:val="center"/>
              <w:rPr>
                <w:rStyle w:val="CharStyle21"/>
                <w:szCs w:val="28"/>
              </w:rPr>
            </w:pPr>
          </w:p>
          <w:p w:rsidR="005807F0" w:rsidRDefault="005807F0" w:rsidP="00CA46D5">
            <w:pPr>
              <w:jc w:val="center"/>
              <w:rPr>
                <w:rStyle w:val="CharStyle21"/>
                <w:color w:val="000000"/>
                <w:szCs w:val="28"/>
                <w:lang/>
              </w:rPr>
            </w:pPr>
          </w:p>
          <w:p w:rsidR="005807F0" w:rsidRPr="004D7C1A" w:rsidRDefault="005807F0" w:rsidP="00CA46D5">
            <w:pPr>
              <w:jc w:val="center"/>
              <w:rPr>
                <w:rStyle w:val="CharStyle21"/>
                <w:color w:val="000000"/>
                <w:szCs w:val="28"/>
                <w:lang/>
              </w:rPr>
            </w:pPr>
            <w:r w:rsidRPr="004D7C1A">
              <w:rPr>
                <w:rStyle w:val="CharStyle21"/>
                <w:color w:val="000000"/>
                <w:szCs w:val="28"/>
                <w:lang/>
              </w:rPr>
              <w:t>3602 00 000 0</w:t>
            </w:r>
          </w:p>
          <w:p w:rsidR="005807F0" w:rsidRDefault="005807F0" w:rsidP="00CA46D5">
            <w:pPr>
              <w:rPr>
                <w:rStyle w:val="CharStyle23"/>
                <w:color w:val="000000"/>
                <w:szCs w:val="28"/>
                <w:lang/>
              </w:rPr>
            </w:pPr>
          </w:p>
          <w:p w:rsidR="005807F0" w:rsidRPr="004D7C1A" w:rsidRDefault="005807F0" w:rsidP="00CA46D5">
            <w:pPr>
              <w:spacing w:line="360" w:lineRule="auto"/>
              <w:rPr>
                <w:rStyle w:val="CharStyle23"/>
                <w:color w:val="000000"/>
                <w:szCs w:val="28"/>
                <w:lang/>
              </w:rPr>
            </w:pPr>
          </w:p>
          <w:p w:rsidR="005807F0" w:rsidRPr="004D7C1A" w:rsidRDefault="005807F0" w:rsidP="00CA46D5">
            <w:pPr>
              <w:jc w:val="center"/>
              <w:rPr>
                <w:rStyle w:val="CharStyle21"/>
                <w:color w:val="000000"/>
                <w:szCs w:val="28"/>
                <w:lang/>
              </w:rPr>
            </w:pPr>
            <w:r w:rsidRPr="004D7C1A">
              <w:rPr>
                <w:rStyle w:val="CharStyle21"/>
                <w:color w:val="000000"/>
                <w:szCs w:val="28"/>
                <w:lang/>
              </w:rPr>
              <w:t>3602 00 000 0</w:t>
            </w:r>
          </w:p>
          <w:p w:rsidR="005807F0" w:rsidRPr="004D7C1A" w:rsidRDefault="005807F0" w:rsidP="00CA46D5">
            <w:pPr>
              <w:jc w:val="center"/>
              <w:rPr>
                <w:rStyle w:val="CharStyle23"/>
                <w:color w:val="000000"/>
                <w:szCs w:val="28"/>
                <w:lang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07F0" w:rsidRPr="004D7C1A" w:rsidRDefault="005807F0" w:rsidP="00CA46D5">
            <w:pPr>
              <w:spacing w:after="200"/>
              <w:jc w:val="center"/>
              <w:rPr>
                <w:szCs w:val="28"/>
              </w:rPr>
            </w:pPr>
            <w:r w:rsidRPr="004D7C1A">
              <w:rPr>
                <w:szCs w:val="28"/>
              </w:rPr>
              <w:lastRenderedPageBreak/>
              <w:t>сертификат соответствия</w:t>
            </w:r>
          </w:p>
          <w:p w:rsidR="005807F0" w:rsidRPr="004D7C1A" w:rsidRDefault="005807F0" w:rsidP="00CA46D5">
            <w:pPr>
              <w:spacing w:after="200"/>
              <w:jc w:val="center"/>
              <w:rPr>
                <w:szCs w:val="28"/>
              </w:rPr>
            </w:pPr>
          </w:p>
          <w:p w:rsidR="005807F0" w:rsidRPr="004D7C1A" w:rsidRDefault="005807F0" w:rsidP="00CA46D5">
            <w:pPr>
              <w:spacing w:after="200"/>
              <w:jc w:val="center"/>
              <w:rPr>
                <w:szCs w:val="28"/>
              </w:rPr>
            </w:pPr>
          </w:p>
          <w:p w:rsidR="005807F0" w:rsidRPr="004D7C1A" w:rsidRDefault="005807F0" w:rsidP="00CA46D5">
            <w:pPr>
              <w:jc w:val="center"/>
              <w:rPr>
                <w:szCs w:val="28"/>
              </w:rPr>
            </w:pPr>
          </w:p>
          <w:p w:rsidR="005807F0" w:rsidRPr="004D7C1A" w:rsidRDefault="005807F0" w:rsidP="00CA46D5">
            <w:pPr>
              <w:spacing w:after="200"/>
              <w:jc w:val="center"/>
              <w:rPr>
                <w:szCs w:val="28"/>
              </w:rPr>
            </w:pPr>
          </w:p>
          <w:p w:rsidR="005807F0" w:rsidRPr="004D7C1A" w:rsidRDefault="005807F0" w:rsidP="00CA46D5">
            <w:pPr>
              <w:spacing w:after="200"/>
              <w:jc w:val="center"/>
              <w:rPr>
                <w:szCs w:val="28"/>
              </w:rPr>
            </w:pPr>
          </w:p>
          <w:p w:rsidR="005807F0" w:rsidRPr="004D7C1A" w:rsidRDefault="005807F0" w:rsidP="00CA46D5">
            <w:pPr>
              <w:spacing w:after="200"/>
              <w:jc w:val="center"/>
              <w:rPr>
                <w:szCs w:val="28"/>
              </w:rPr>
            </w:pPr>
          </w:p>
          <w:p w:rsidR="005807F0" w:rsidRPr="004D7C1A" w:rsidRDefault="005807F0" w:rsidP="00CA46D5">
            <w:pPr>
              <w:spacing w:after="200"/>
              <w:jc w:val="center"/>
              <w:rPr>
                <w:szCs w:val="28"/>
              </w:rPr>
            </w:pPr>
          </w:p>
          <w:p w:rsidR="005807F0" w:rsidRPr="004D7C1A" w:rsidRDefault="005807F0" w:rsidP="00CA46D5">
            <w:pPr>
              <w:spacing w:after="200"/>
              <w:jc w:val="center"/>
              <w:rPr>
                <w:szCs w:val="28"/>
              </w:rPr>
            </w:pPr>
          </w:p>
          <w:p w:rsidR="005807F0" w:rsidRPr="004D7C1A" w:rsidRDefault="005807F0" w:rsidP="00CA46D5">
            <w:pPr>
              <w:spacing w:after="200"/>
              <w:jc w:val="center"/>
              <w:rPr>
                <w:szCs w:val="28"/>
              </w:rPr>
            </w:pPr>
          </w:p>
          <w:p w:rsidR="005807F0" w:rsidRPr="004D7C1A" w:rsidRDefault="005807F0" w:rsidP="00CA46D5">
            <w:pPr>
              <w:spacing w:after="200"/>
              <w:jc w:val="center"/>
              <w:rPr>
                <w:szCs w:val="28"/>
              </w:rPr>
            </w:pPr>
          </w:p>
          <w:p w:rsidR="005807F0" w:rsidRPr="004D7C1A" w:rsidRDefault="005807F0" w:rsidP="00CA46D5">
            <w:pPr>
              <w:spacing w:after="200"/>
              <w:jc w:val="center"/>
              <w:rPr>
                <w:szCs w:val="28"/>
              </w:rPr>
            </w:pPr>
          </w:p>
          <w:p w:rsidR="005807F0" w:rsidRPr="004D7C1A" w:rsidRDefault="005807F0" w:rsidP="00CA46D5">
            <w:pPr>
              <w:spacing w:after="200"/>
              <w:jc w:val="center"/>
              <w:rPr>
                <w:szCs w:val="28"/>
              </w:rPr>
            </w:pPr>
          </w:p>
          <w:p w:rsidR="005807F0" w:rsidRPr="004D7C1A" w:rsidRDefault="005807F0" w:rsidP="00CA46D5">
            <w:pPr>
              <w:spacing w:after="200"/>
              <w:jc w:val="center"/>
              <w:rPr>
                <w:szCs w:val="28"/>
              </w:rPr>
            </w:pPr>
          </w:p>
          <w:p w:rsidR="005807F0" w:rsidRPr="004D7C1A" w:rsidRDefault="005807F0" w:rsidP="00CA46D5">
            <w:pPr>
              <w:spacing w:after="200"/>
              <w:jc w:val="center"/>
              <w:rPr>
                <w:szCs w:val="28"/>
              </w:rPr>
            </w:pPr>
          </w:p>
          <w:p w:rsidR="005807F0" w:rsidRPr="004D7C1A" w:rsidRDefault="005807F0" w:rsidP="00CA46D5">
            <w:pPr>
              <w:spacing w:after="200"/>
              <w:jc w:val="center"/>
              <w:rPr>
                <w:szCs w:val="28"/>
              </w:rPr>
            </w:pPr>
          </w:p>
          <w:p w:rsidR="005807F0" w:rsidRPr="004D7C1A" w:rsidRDefault="005807F0" w:rsidP="00CA46D5">
            <w:pPr>
              <w:spacing w:after="200"/>
              <w:jc w:val="center"/>
              <w:rPr>
                <w:szCs w:val="28"/>
              </w:rPr>
            </w:pPr>
          </w:p>
          <w:p w:rsidR="005807F0" w:rsidRPr="004D7C1A" w:rsidRDefault="005807F0" w:rsidP="00CA46D5">
            <w:pPr>
              <w:jc w:val="center"/>
              <w:rPr>
                <w:szCs w:val="28"/>
              </w:rPr>
            </w:pPr>
          </w:p>
          <w:p w:rsidR="005807F0" w:rsidRPr="004D7C1A" w:rsidRDefault="005807F0" w:rsidP="00CA46D5">
            <w:pPr>
              <w:jc w:val="center"/>
              <w:rPr>
                <w:szCs w:val="28"/>
              </w:rPr>
            </w:pPr>
          </w:p>
          <w:p w:rsidR="005807F0" w:rsidRDefault="005807F0" w:rsidP="00CA46D5">
            <w:pPr>
              <w:jc w:val="center"/>
              <w:rPr>
                <w:szCs w:val="28"/>
              </w:rPr>
            </w:pPr>
          </w:p>
          <w:p w:rsidR="005807F0" w:rsidRPr="004D7C1A" w:rsidRDefault="005807F0" w:rsidP="00CA46D5">
            <w:pPr>
              <w:jc w:val="center"/>
              <w:rPr>
                <w:szCs w:val="28"/>
              </w:rPr>
            </w:pPr>
          </w:p>
          <w:p w:rsidR="005807F0" w:rsidRDefault="005807F0" w:rsidP="00CA46D5">
            <w:pPr>
              <w:jc w:val="center"/>
              <w:rPr>
                <w:szCs w:val="28"/>
              </w:rPr>
            </w:pPr>
          </w:p>
          <w:p w:rsidR="005807F0" w:rsidRPr="004D7C1A" w:rsidRDefault="005807F0" w:rsidP="00CA46D5">
            <w:pPr>
              <w:jc w:val="center"/>
              <w:rPr>
                <w:szCs w:val="28"/>
              </w:rPr>
            </w:pPr>
            <w:r w:rsidRPr="004D7C1A">
              <w:rPr>
                <w:szCs w:val="28"/>
              </w:rPr>
              <w:t>сертификат соответствия</w:t>
            </w:r>
          </w:p>
          <w:p w:rsidR="005807F0" w:rsidRDefault="005807F0" w:rsidP="00CA46D5">
            <w:pPr>
              <w:jc w:val="center"/>
              <w:rPr>
                <w:szCs w:val="28"/>
              </w:rPr>
            </w:pPr>
          </w:p>
          <w:p w:rsidR="005807F0" w:rsidRDefault="005807F0" w:rsidP="00CA46D5">
            <w:pPr>
              <w:spacing w:line="360" w:lineRule="auto"/>
              <w:jc w:val="center"/>
              <w:rPr>
                <w:szCs w:val="28"/>
              </w:rPr>
            </w:pPr>
          </w:p>
          <w:p w:rsidR="005807F0" w:rsidRPr="004D7C1A" w:rsidRDefault="005807F0" w:rsidP="00CA46D5">
            <w:pPr>
              <w:jc w:val="center"/>
              <w:rPr>
                <w:rStyle w:val="CharStyle23"/>
                <w:szCs w:val="28"/>
              </w:rPr>
            </w:pPr>
            <w:r w:rsidRPr="004D7C1A">
              <w:rPr>
                <w:szCs w:val="28"/>
              </w:rPr>
              <w:t>сертификат соответствия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07F0" w:rsidRPr="004D7C1A" w:rsidRDefault="005807F0" w:rsidP="00CA46D5">
            <w:pPr>
              <w:ind w:right="9105"/>
              <w:jc w:val="center"/>
              <w:rPr>
                <w:rStyle w:val="CharStyle23"/>
                <w:color w:val="000000"/>
                <w:szCs w:val="28"/>
                <w:lang/>
              </w:rPr>
            </w:pPr>
          </w:p>
        </w:tc>
      </w:tr>
      <w:tr w:rsidR="005807F0" w:rsidRPr="004D7C1A" w:rsidTr="00CA46D5">
        <w:trPr>
          <w:trHeight w:val="1716"/>
        </w:trPr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07F0" w:rsidRPr="004D7C1A" w:rsidRDefault="005807F0" w:rsidP="00CA46D5">
            <w:pPr>
              <w:pStyle w:val="Style22"/>
              <w:shd w:val="clear" w:color="auto" w:fill="auto"/>
              <w:spacing w:after="0" w:line="240" w:lineRule="auto"/>
              <w:jc w:val="left"/>
              <w:rPr>
                <w:rStyle w:val="CharStyle23"/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3"/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lastRenderedPageBreak/>
              <w:t>5</w:t>
            </w:r>
            <w:r w:rsidRPr="004D7C1A">
              <w:rPr>
                <w:rStyle w:val="CharStyle23"/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 xml:space="preserve">. Шнуры огнепроводные; шнуры детонирующие; капсюли ударные или детонирующие; запалы; </w:t>
            </w:r>
            <w:proofErr w:type="spellStart"/>
            <w:r w:rsidRPr="004D7C1A">
              <w:rPr>
                <w:rStyle w:val="CharStyle23"/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электродетонаторы</w:t>
            </w:r>
            <w:proofErr w:type="spellEnd"/>
          </w:p>
          <w:p w:rsidR="005807F0" w:rsidRPr="004D7C1A" w:rsidRDefault="005807F0" w:rsidP="00CA46D5">
            <w:pPr>
              <w:pStyle w:val="Style22"/>
              <w:shd w:val="clear" w:color="auto" w:fill="auto"/>
              <w:spacing w:after="0" w:line="360" w:lineRule="auto"/>
              <w:jc w:val="left"/>
              <w:rPr>
                <w:rStyle w:val="CharStyle23"/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07F0" w:rsidRPr="004D7C1A" w:rsidRDefault="005807F0" w:rsidP="00CA46D5">
            <w:pPr>
              <w:jc w:val="center"/>
              <w:rPr>
                <w:rStyle w:val="CharStyle21"/>
                <w:color w:val="000000"/>
                <w:szCs w:val="28"/>
                <w:lang/>
              </w:rPr>
            </w:pPr>
            <w:r w:rsidRPr="004D7C1A">
              <w:rPr>
                <w:rStyle w:val="CharStyle21"/>
                <w:color w:val="000000"/>
                <w:szCs w:val="28"/>
                <w:lang/>
              </w:rPr>
              <w:t>3603 00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07F0" w:rsidRPr="004D7C1A" w:rsidRDefault="005807F0" w:rsidP="00CA46D5">
            <w:pPr>
              <w:spacing w:after="200"/>
              <w:jc w:val="center"/>
              <w:rPr>
                <w:szCs w:val="28"/>
              </w:rPr>
            </w:pPr>
            <w:r w:rsidRPr="004D7C1A">
              <w:rPr>
                <w:szCs w:val="28"/>
              </w:rPr>
              <w:t>сертификат соответствия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07F0" w:rsidRPr="004D7C1A" w:rsidRDefault="005807F0" w:rsidP="00CA46D5">
            <w:pPr>
              <w:ind w:right="9105"/>
              <w:jc w:val="center"/>
              <w:rPr>
                <w:rStyle w:val="CharStyle23"/>
                <w:color w:val="000000"/>
                <w:szCs w:val="28"/>
                <w:lang/>
              </w:rPr>
            </w:pPr>
          </w:p>
        </w:tc>
      </w:tr>
      <w:tr w:rsidR="005807F0" w:rsidRPr="004D7C1A" w:rsidTr="00CA46D5">
        <w:trPr>
          <w:trHeight w:val="1018"/>
        </w:trPr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07F0" w:rsidRPr="004D7C1A" w:rsidRDefault="005807F0" w:rsidP="00CA46D5">
            <w:pPr>
              <w:pStyle w:val="Style22"/>
              <w:shd w:val="clear" w:color="auto" w:fill="auto"/>
              <w:spacing w:after="0" w:line="240" w:lineRule="auto"/>
              <w:jc w:val="left"/>
              <w:rPr>
                <w:rStyle w:val="CharStyle23"/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Style w:val="CharStyle23"/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lastRenderedPageBreak/>
              <w:t>6</w:t>
            </w:r>
            <w:r w:rsidRPr="004D7C1A">
              <w:rPr>
                <w:rStyle w:val="CharStyle23"/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 xml:space="preserve">. Эмульсии и матрицы окислителя на основе нитрата аммония, разрабатываемые (проектируемые) и изготавливаемые для получения водоэмульсионных и </w:t>
            </w:r>
            <w:proofErr w:type="spellStart"/>
            <w:r w:rsidRPr="004D7C1A">
              <w:rPr>
                <w:rStyle w:val="CharStyle23"/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водногелевых</w:t>
            </w:r>
            <w:proofErr w:type="spellEnd"/>
            <w:r w:rsidRPr="004D7C1A">
              <w:rPr>
                <w:rStyle w:val="CharStyle23"/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 xml:space="preserve"> взрывчатых веществ</w:t>
            </w:r>
          </w:p>
          <w:p w:rsidR="005807F0" w:rsidRPr="004D7C1A" w:rsidRDefault="005807F0" w:rsidP="00CA46D5">
            <w:pPr>
              <w:pStyle w:val="Style22"/>
              <w:shd w:val="clear" w:color="auto" w:fill="auto"/>
              <w:spacing w:after="0" w:line="360" w:lineRule="auto"/>
              <w:jc w:val="left"/>
              <w:rPr>
                <w:rStyle w:val="CharStyle23"/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07F0" w:rsidRPr="004D7C1A" w:rsidRDefault="005807F0" w:rsidP="00CA46D5">
            <w:pPr>
              <w:jc w:val="center"/>
              <w:rPr>
                <w:rStyle w:val="CharStyle21"/>
                <w:color w:val="000000"/>
                <w:szCs w:val="28"/>
                <w:lang/>
              </w:rPr>
            </w:pPr>
            <w:r w:rsidRPr="004D7C1A">
              <w:rPr>
                <w:rStyle w:val="CharStyle21"/>
                <w:color w:val="000000"/>
                <w:szCs w:val="28"/>
                <w:lang/>
              </w:rPr>
              <w:t>3102 30</w:t>
            </w:r>
          </w:p>
          <w:p w:rsidR="005807F0" w:rsidRPr="004D7C1A" w:rsidRDefault="005807F0" w:rsidP="00CA46D5">
            <w:pPr>
              <w:jc w:val="center"/>
              <w:rPr>
                <w:rStyle w:val="CharStyle21"/>
                <w:color w:val="000000"/>
                <w:szCs w:val="28"/>
                <w:lang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07F0" w:rsidRPr="004D7C1A" w:rsidRDefault="005807F0" w:rsidP="00CA46D5">
            <w:pPr>
              <w:jc w:val="center"/>
              <w:rPr>
                <w:szCs w:val="28"/>
              </w:rPr>
            </w:pPr>
            <w:r w:rsidRPr="004D7C1A">
              <w:rPr>
                <w:szCs w:val="28"/>
              </w:rPr>
              <w:t>сертификат соответствия</w:t>
            </w:r>
          </w:p>
          <w:p w:rsidR="005807F0" w:rsidRPr="004D7C1A" w:rsidRDefault="005807F0" w:rsidP="00CA46D5">
            <w:pPr>
              <w:rPr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07F0" w:rsidRPr="004D7C1A" w:rsidRDefault="005807F0" w:rsidP="00CA46D5">
            <w:pPr>
              <w:ind w:right="9105"/>
              <w:jc w:val="center"/>
              <w:rPr>
                <w:rStyle w:val="CharStyle23"/>
                <w:color w:val="000000"/>
                <w:szCs w:val="28"/>
                <w:lang/>
              </w:rPr>
            </w:pPr>
          </w:p>
        </w:tc>
      </w:tr>
    </w:tbl>
    <w:p w:rsidR="005807F0" w:rsidRDefault="005807F0" w:rsidP="005807F0"/>
    <w:tbl>
      <w:tblPr>
        <w:tblW w:w="14317" w:type="dxa"/>
        <w:tblInd w:w="392" w:type="dxa"/>
        <w:tblLayout w:type="fixed"/>
        <w:tblLook w:val="04A0"/>
      </w:tblPr>
      <w:tblGrid>
        <w:gridCol w:w="1843"/>
        <w:gridCol w:w="12474"/>
      </w:tblGrid>
      <w:tr w:rsidR="005807F0" w:rsidRPr="00D61AB8" w:rsidTr="00CA46D5">
        <w:tc>
          <w:tcPr>
            <w:tcW w:w="1843" w:type="dxa"/>
            <w:shd w:val="clear" w:color="auto" w:fill="auto"/>
          </w:tcPr>
          <w:p w:rsidR="005807F0" w:rsidRPr="00AA0612" w:rsidRDefault="005807F0" w:rsidP="00CA46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Примечания:</w:t>
            </w:r>
          </w:p>
        </w:tc>
        <w:tc>
          <w:tcPr>
            <w:tcW w:w="12474" w:type="dxa"/>
            <w:shd w:val="clear" w:color="auto" w:fill="auto"/>
          </w:tcPr>
          <w:p w:rsidR="005807F0" w:rsidRDefault="005807F0" w:rsidP="00CA46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1. </w:t>
            </w:r>
            <w:r w:rsidRPr="00D92B44">
              <w:rPr>
                <w:szCs w:val="28"/>
              </w:rPr>
              <w:t>Д</w:t>
            </w:r>
            <w:r>
              <w:rPr>
                <w:szCs w:val="28"/>
              </w:rPr>
              <w:t>ля целей применения настоящего п</w:t>
            </w:r>
            <w:r w:rsidRPr="00D92B44">
              <w:rPr>
                <w:szCs w:val="28"/>
              </w:rPr>
              <w:t>еречня необходимо пользоваться как наименованием</w:t>
            </w:r>
            <w:r>
              <w:rPr>
                <w:szCs w:val="28"/>
              </w:rPr>
              <w:t xml:space="preserve"> продукции (изделия)</w:t>
            </w:r>
            <w:r w:rsidRPr="00D92B44">
              <w:rPr>
                <w:szCs w:val="28"/>
              </w:rPr>
              <w:t>, так и кодом ТН ВЭД ТС</w:t>
            </w:r>
            <w:r>
              <w:rPr>
                <w:szCs w:val="28"/>
              </w:rPr>
              <w:t>.</w:t>
            </w:r>
          </w:p>
          <w:p w:rsidR="005807F0" w:rsidRPr="00D61AB8" w:rsidRDefault="005807F0" w:rsidP="00CA46D5">
            <w:pPr>
              <w:pStyle w:val="10"/>
              <w:shd w:val="clear" w:color="auto" w:fill="auto"/>
              <w:tabs>
                <w:tab w:val="left" w:pos="998"/>
                <w:tab w:val="left" w:pos="9920"/>
              </w:tabs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214D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 </w:t>
            </w:r>
            <w:r w:rsidRPr="001679C7">
              <w:rPr>
                <w:rFonts w:ascii="Times New Roman" w:hAnsi="Times New Roman"/>
                <w:sz w:val="28"/>
                <w:szCs w:val="28"/>
              </w:rPr>
              <w:t>Требование о представлении таможенным органам документа об оценке (подтверждении) соответствия требованиям технического регламента Таможенного союза</w:t>
            </w:r>
            <w:r>
              <w:rPr>
                <w:sz w:val="28"/>
                <w:szCs w:val="28"/>
              </w:rPr>
              <w:t xml:space="preserve"> </w:t>
            </w:r>
            <w:r w:rsidRPr="00DE214D">
              <w:rPr>
                <w:rFonts w:ascii="Times New Roman" w:hAnsi="Times New Roman"/>
                <w:sz w:val="28"/>
                <w:szCs w:val="28"/>
              </w:rPr>
              <w:t xml:space="preserve">«О безопасности </w:t>
            </w:r>
            <w:r>
              <w:rPr>
                <w:rFonts w:ascii="Times New Roman" w:hAnsi="Times New Roman"/>
                <w:sz w:val="28"/>
                <w:szCs w:val="28"/>
              </w:rPr>
              <w:t>взрывчатых веществ и изделий на их основе</w:t>
            </w:r>
            <w:r w:rsidRPr="00DE214D">
              <w:rPr>
                <w:rFonts w:ascii="Times New Roman" w:hAnsi="Times New Roman"/>
                <w:sz w:val="28"/>
                <w:szCs w:val="28"/>
              </w:rPr>
              <w:t>» (</w:t>
            </w:r>
            <w:proofErr w:type="gramStart"/>
            <w:r w:rsidRPr="00DE214D">
              <w:rPr>
                <w:rFonts w:ascii="Times New Roman" w:hAnsi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ТС 028</w:t>
            </w:r>
            <w:r w:rsidRPr="00DE214D">
              <w:rPr>
                <w:rFonts w:ascii="Times New Roman" w:hAnsi="Times New Roman"/>
                <w:sz w:val="28"/>
                <w:szCs w:val="28"/>
              </w:rPr>
              <w:t xml:space="preserve">/2012) не применяется в отношении </w:t>
            </w:r>
            <w:r>
              <w:rPr>
                <w:rFonts w:ascii="Times New Roman" w:hAnsi="Times New Roman"/>
                <w:sz w:val="28"/>
                <w:szCs w:val="28"/>
              </w:rPr>
              <w:t>взрывчатых веществ и изделий на их основе, указанных в пункте 2 статьи 1</w:t>
            </w:r>
            <w:r w:rsidRPr="00DE21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этого </w:t>
            </w:r>
            <w:r w:rsidRPr="00DE214D">
              <w:rPr>
                <w:rFonts w:ascii="Times New Roman" w:hAnsi="Times New Roman"/>
                <w:sz w:val="28"/>
                <w:szCs w:val="28"/>
              </w:rPr>
              <w:t>технического регламента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DE214D">
              <w:rPr>
                <w:rFonts w:ascii="Times New Roman" w:hAnsi="Times New Roman"/>
                <w:sz w:val="28"/>
                <w:szCs w:val="28"/>
              </w:rPr>
              <w:t xml:space="preserve">в отношении </w:t>
            </w:r>
            <w:r>
              <w:rPr>
                <w:rFonts w:ascii="Times New Roman" w:hAnsi="Times New Roman"/>
                <w:sz w:val="28"/>
                <w:szCs w:val="28"/>
              </w:rPr>
              <w:t>взрывчатых веществ и изделий на их основе, относящихся к оборонной продукции, и в отношении пиротехнических изделий).</w:t>
            </w:r>
          </w:p>
        </w:tc>
      </w:tr>
    </w:tbl>
    <w:p w:rsidR="005807F0" w:rsidRDefault="005807F0" w:rsidP="005807F0">
      <w:pPr>
        <w:spacing w:line="276" w:lineRule="auto"/>
        <w:rPr>
          <w:szCs w:val="28"/>
        </w:rPr>
      </w:pPr>
    </w:p>
    <w:p w:rsidR="005807F0" w:rsidRDefault="005807F0" w:rsidP="005807F0">
      <w:pPr>
        <w:spacing w:line="276" w:lineRule="auto"/>
        <w:rPr>
          <w:szCs w:val="28"/>
        </w:rPr>
      </w:pPr>
    </w:p>
    <w:p w:rsidR="005807F0" w:rsidRDefault="005807F0" w:rsidP="005807F0">
      <w:pPr>
        <w:spacing w:line="276" w:lineRule="auto"/>
        <w:rPr>
          <w:szCs w:val="28"/>
        </w:rPr>
      </w:pPr>
      <w:r>
        <w:rPr>
          <w:noProof/>
          <w:szCs w:val="28"/>
        </w:rPr>
        <w:pict>
          <v:shape id="Прямая со стрелкой 1" o:spid="_x0000_s1028" type="#_x0000_t32" style="position:absolute;margin-left:0;margin-top:20.45pt;width:85.05pt;height:0;z-index:251662336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" strokeweight=".5pt"/>
        </w:pict>
      </w:r>
    </w:p>
    <w:p w:rsidR="005807F0" w:rsidRDefault="005807F0" w:rsidP="00E6088D"/>
    <w:sectPr w:rsidR="005807F0" w:rsidSect="005807F0">
      <w:headerReference w:type="default" r:id="rId10"/>
      <w:headerReference w:type="first" r:id="rId11"/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967" w:rsidRDefault="007B4967">
      <w:r>
        <w:separator/>
      </w:r>
    </w:p>
  </w:endnote>
  <w:endnote w:type="continuationSeparator" w:id="0">
    <w:p w:rsidR="007B4967" w:rsidRDefault="007B4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967" w:rsidRDefault="007B4967">
      <w:r>
        <w:separator/>
      </w:r>
    </w:p>
  </w:footnote>
  <w:footnote w:type="continuationSeparator" w:id="0">
    <w:p w:rsidR="007B4967" w:rsidRDefault="007B4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581" w:rsidRDefault="004D120D">
    <w:pPr>
      <w:pStyle w:val="a3"/>
      <w:jc w:val="center"/>
    </w:pPr>
    <w:r>
      <w:fldChar w:fldCharType="begin"/>
    </w:r>
    <w:r w:rsidR="009A5CA3">
      <w:instrText xml:space="preserve"> PAGE   \* MERGEFORMAT </w:instrText>
    </w:r>
    <w:r>
      <w:fldChar w:fldCharType="separate"/>
    </w:r>
    <w:r w:rsidR="0046447D">
      <w:rPr>
        <w:noProof/>
      </w:rPr>
      <w:t>5</w:t>
    </w:r>
    <w:r>
      <w:fldChar w:fldCharType="end"/>
    </w:r>
  </w:p>
  <w:p w:rsidR="001F3581" w:rsidRDefault="007B49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47D" w:rsidRPr="00661C47" w:rsidRDefault="0046447D" w:rsidP="0046447D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91465" cy="469265"/>
          <wp:effectExtent l="0" t="0" r="0" b="6985"/>
          <wp:wrapSquare wrapText="bothSides"/>
          <wp:docPr id="2" name="Рисунок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G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1C47">
      <w:t>Сертификационный центр «</w:t>
    </w:r>
    <w:proofErr w:type="spellStart"/>
    <w:r w:rsidRPr="00661C47">
      <w:t>Квантум</w:t>
    </w:r>
    <w:proofErr w:type="spellEnd"/>
    <w:r w:rsidRPr="00661C47">
      <w:t xml:space="preserve"> Групп»</w:t>
    </w:r>
  </w:p>
  <w:p w:rsidR="0046447D" w:rsidRPr="0021649B" w:rsidRDefault="0046447D" w:rsidP="0046447D">
    <w:pPr>
      <w:jc w:val="right"/>
      <w:rPr>
        <w:sz w:val="18"/>
        <w:szCs w:val="18"/>
        <w:lang w:val="en-US"/>
      </w:rPr>
    </w:pPr>
    <w:bookmarkStart w:id="2" w:name="OLE_LINK4"/>
    <w:bookmarkStart w:id="3" w:name="OLE_LINK5"/>
    <w:r w:rsidRPr="00661C47">
      <w:rPr>
        <w:sz w:val="18"/>
        <w:szCs w:val="18"/>
        <w:lang w:val="en-US"/>
      </w:rPr>
      <w:t>Quantum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Group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Certification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center</w:t>
    </w:r>
  </w:p>
  <w:bookmarkEnd w:id="2"/>
  <w:bookmarkEnd w:id="3"/>
  <w:p w:rsidR="0046447D" w:rsidRPr="0021649B" w:rsidRDefault="0046447D" w:rsidP="0046447D">
    <w:pPr>
      <w:jc w:val="right"/>
      <w:rPr>
        <w:sz w:val="18"/>
        <w:szCs w:val="18"/>
        <w:lang w:val="en-US"/>
      </w:rPr>
    </w:pPr>
    <w:r>
      <w:fldChar w:fldCharType="begin"/>
    </w:r>
    <w:r>
      <w:instrText>HYPERLINK "http://www.QGC.ru"</w:instrText>
    </w:r>
    <w:r>
      <w:fldChar w:fldCharType="separate"/>
    </w:r>
    <w:r w:rsidRPr="00661C47">
      <w:rPr>
        <w:rStyle w:val="ac"/>
        <w:sz w:val="18"/>
        <w:szCs w:val="18"/>
        <w:lang w:val="en-US"/>
      </w:rPr>
      <w:t>www</w:t>
    </w:r>
    <w:r w:rsidRPr="0021649B">
      <w:rPr>
        <w:rStyle w:val="ac"/>
        <w:sz w:val="18"/>
        <w:szCs w:val="18"/>
        <w:lang w:val="en-US"/>
      </w:rPr>
      <w:t>.</w:t>
    </w:r>
    <w:r w:rsidRPr="00661C47">
      <w:rPr>
        <w:rStyle w:val="ac"/>
        <w:sz w:val="18"/>
        <w:szCs w:val="18"/>
        <w:lang w:val="en-US"/>
      </w:rPr>
      <w:t>QGC</w:t>
    </w:r>
    <w:r w:rsidRPr="0021649B">
      <w:rPr>
        <w:rStyle w:val="ac"/>
        <w:sz w:val="18"/>
        <w:szCs w:val="18"/>
        <w:lang w:val="en-US"/>
      </w:rPr>
      <w:t>.</w:t>
    </w:r>
    <w:r w:rsidRPr="00661C47">
      <w:rPr>
        <w:rStyle w:val="ac"/>
        <w:sz w:val="18"/>
        <w:szCs w:val="18"/>
        <w:lang w:val="en-US"/>
      </w:rPr>
      <w:t>ru</w:t>
    </w:r>
    <w:r>
      <w:fldChar w:fldCharType="end"/>
    </w:r>
    <w:r w:rsidRPr="0021649B">
      <w:rPr>
        <w:sz w:val="18"/>
        <w:szCs w:val="18"/>
        <w:lang w:val="en-US"/>
      </w:rPr>
      <w:t xml:space="preserve"> — </w:t>
    </w:r>
    <w:hyperlink r:id="rId3" w:history="1">
      <w:r w:rsidRPr="00661C47">
        <w:rPr>
          <w:rStyle w:val="ac"/>
          <w:sz w:val="18"/>
          <w:szCs w:val="18"/>
          <w:lang w:val="en-US"/>
        </w:rPr>
        <w:t>info</w:t>
      </w:r>
      <w:r w:rsidRPr="0021649B">
        <w:rPr>
          <w:rStyle w:val="ac"/>
          <w:sz w:val="18"/>
          <w:szCs w:val="18"/>
          <w:lang w:val="en-US"/>
        </w:rPr>
        <w:t>@</w:t>
      </w:r>
      <w:r w:rsidRPr="00661C47">
        <w:rPr>
          <w:rStyle w:val="ac"/>
          <w:sz w:val="18"/>
          <w:szCs w:val="18"/>
          <w:lang w:val="en-US"/>
        </w:rPr>
        <w:t>qgc</w:t>
      </w:r>
      <w:r w:rsidRPr="0021649B">
        <w:rPr>
          <w:rStyle w:val="ac"/>
          <w:sz w:val="18"/>
          <w:szCs w:val="18"/>
          <w:lang w:val="en-US"/>
        </w:rPr>
        <w:t>.</w:t>
      </w:r>
      <w:r w:rsidRPr="00661C47">
        <w:rPr>
          <w:rStyle w:val="ac"/>
          <w:sz w:val="18"/>
          <w:szCs w:val="18"/>
          <w:lang w:val="en-US"/>
        </w:rPr>
        <w:t>ru</w:t>
      </w:r>
    </w:hyperlink>
  </w:p>
  <w:p w:rsidR="0046447D" w:rsidRPr="0021649B" w:rsidRDefault="0046447D" w:rsidP="0046447D">
    <w:pPr>
      <w:pStyle w:val="a3"/>
      <w:rPr>
        <w:lang w:val="en-US"/>
      </w:rPr>
    </w:pPr>
  </w:p>
  <w:p w:rsidR="0046447D" w:rsidRDefault="0046447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C72FA"/>
    <w:multiLevelType w:val="hybridMultilevel"/>
    <w:tmpl w:val="6554E10A"/>
    <w:lvl w:ilvl="0" w:tplc="CB30766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88C"/>
    <w:rsid w:val="00066F17"/>
    <w:rsid w:val="00077A06"/>
    <w:rsid w:val="00135902"/>
    <w:rsid w:val="00232C2F"/>
    <w:rsid w:val="003C1799"/>
    <w:rsid w:val="003F355F"/>
    <w:rsid w:val="0046447D"/>
    <w:rsid w:val="004D120D"/>
    <w:rsid w:val="005807F0"/>
    <w:rsid w:val="007B4967"/>
    <w:rsid w:val="009A13AE"/>
    <w:rsid w:val="009A5CA3"/>
    <w:rsid w:val="00A42C0E"/>
    <w:rsid w:val="00A4522C"/>
    <w:rsid w:val="00E6088D"/>
    <w:rsid w:val="00EC1DCB"/>
    <w:rsid w:val="00FC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8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58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Spacing1">
    <w:name w:val="No Spacing1"/>
    <w:rsid w:val="00FC5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58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88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A42C0E"/>
    <w:rPr>
      <w:color w:val="808080"/>
    </w:rPr>
  </w:style>
  <w:style w:type="paragraph" w:customStyle="1" w:styleId="1">
    <w:name w:val="текст сноски1"/>
    <w:basedOn w:val="a"/>
    <w:rsid w:val="005807F0"/>
    <w:pPr>
      <w:widowControl w:val="0"/>
      <w:autoSpaceDE w:val="0"/>
      <w:autoSpaceDN w:val="0"/>
      <w:jc w:val="center"/>
    </w:pPr>
    <w:rPr>
      <w:rFonts w:ascii="Courier New" w:hAnsi="Courier New" w:cs="Courier New"/>
      <w:sz w:val="24"/>
    </w:rPr>
  </w:style>
  <w:style w:type="character" w:customStyle="1" w:styleId="CharStyle21">
    <w:name w:val="Char Style 21"/>
    <w:basedOn w:val="a0"/>
    <w:link w:val="Style20"/>
    <w:rsid w:val="005807F0"/>
    <w:rPr>
      <w:sz w:val="21"/>
      <w:szCs w:val="21"/>
      <w:shd w:val="clear" w:color="auto" w:fill="FFFFFF"/>
    </w:rPr>
  </w:style>
  <w:style w:type="paragraph" w:customStyle="1" w:styleId="Style20">
    <w:name w:val="Style 20"/>
    <w:basedOn w:val="a"/>
    <w:link w:val="CharStyle21"/>
    <w:rsid w:val="005807F0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CharStyle23">
    <w:name w:val="Char Style 23"/>
    <w:basedOn w:val="a0"/>
    <w:link w:val="Style22"/>
    <w:rsid w:val="005807F0"/>
    <w:rPr>
      <w:sz w:val="23"/>
      <w:szCs w:val="23"/>
      <w:shd w:val="clear" w:color="auto" w:fill="FFFFFF"/>
    </w:rPr>
  </w:style>
  <w:style w:type="paragraph" w:customStyle="1" w:styleId="Style22">
    <w:name w:val="Style 22"/>
    <w:basedOn w:val="a"/>
    <w:link w:val="CharStyle23"/>
    <w:rsid w:val="005807F0"/>
    <w:pPr>
      <w:widowControl w:val="0"/>
      <w:shd w:val="clear" w:color="auto" w:fill="FFFFFF"/>
      <w:spacing w:after="3360" w:line="0" w:lineRule="atLeas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8">
    <w:name w:val="Основной текст_"/>
    <w:link w:val="10"/>
    <w:locked/>
    <w:rsid w:val="005807F0"/>
    <w:rPr>
      <w:rFonts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5807F0"/>
    <w:pPr>
      <w:shd w:val="clear" w:color="auto" w:fill="FFFFFF"/>
      <w:spacing w:before="660" w:line="518" w:lineRule="exact"/>
      <w:ind w:hanging="540"/>
      <w:jc w:val="both"/>
    </w:pPr>
    <w:rPr>
      <w:rFonts w:asciiTheme="minorHAnsi" w:eastAsiaTheme="minorHAnsi" w:hAnsiTheme="minorHAnsi"/>
      <w:sz w:val="27"/>
      <w:szCs w:val="27"/>
      <w:lang w:eastAsia="en-US"/>
    </w:rPr>
  </w:style>
  <w:style w:type="paragraph" w:styleId="a9">
    <w:name w:val="List Paragraph"/>
    <w:basedOn w:val="a"/>
    <w:uiPriority w:val="34"/>
    <w:qFormat/>
    <w:rsid w:val="005807F0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4644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44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basedOn w:val="a0"/>
    <w:uiPriority w:val="99"/>
    <w:unhideWhenUsed/>
    <w:rsid w:val="004644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8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58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Spacing1">
    <w:name w:val="No Spacing1"/>
    <w:rsid w:val="00FC5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58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88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A42C0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qgc.ru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qg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433</Words>
  <Characters>3012</Characters>
  <Application>Microsoft Office Word</Application>
  <DocSecurity>0</DocSecurity>
  <Lines>55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Quantum Group Certification center</dc:creator>
  <cp:lastModifiedBy>Admin</cp:lastModifiedBy>
  <cp:revision>3</cp:revision>
  <cp:lastPrinted>2014-03-31T11:52:00Z</cp:lastPrinted>
  <dcterms:created xsi:type="dcterms:W3CDTF">2014-05-15T12:09:00Z</dcterms:created>
  <dcterms:modified xsi:type="dcterms:W3CDTF">2014-05-15T12:10:00Z</dcterms:modified>
</cp:coreProperties>
</file>