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9B" w:rsidRPr="00BD169B" w:rsidRDefault="008E35C7" w:rsidP="00BD1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8E35C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1.35pt;margin-top:-16.9pt;width:537.75pt;height:224.2pt;z-index:-251656192">
            <v:imagedata r:id="rId6" o:title=""/>
          </v:shape>
          <o:OLEObject Type="Embed" ProgID="PBrush" ShapeID="_x0000_s1027" DrawAspect="Content" ObjectID="_1443609010" r:id="rId7"/>
        </w:pict>
      </w:r>
      <w:r w:rsidR="00BD169B" w:rsidRPr="00BD1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9B" w:rsidRPr="00BD169B" w:rsidRDefault="00BD169B" w:rsidP="00BD1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BD169B" w:rsidRPr="00BD169B" w:rsidRDefault="00BD169B" w:rsidP="00BD1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BD169B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BD169B" w:rsidRPr="00BD169B" w:rsidRDefault="00BD169B" w:rsidP="00BD169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BD169B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BD169B" w:rsidRPr="00BD169B" w:rsidRDefault="008E35C7" w:rsidP="00BD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5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1pt;margin-top:.15pt;width:467.0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" strokecolor="#0619a2" strokeweight="2.25pt"/>
        </w:pict>
      </w:r>
    </w:p>
    <w:p w:rsidR="00BD169B" w:rsidRPr="00BD169B" w:rsidRDefault="00BD169B" w:rsidP="00BD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169B" w:rsidRPr="00BD169B" w:rsidRDefault="00BD169B" w:rsidP="00BD1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BD169B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BD169B" w:rsidRPr="00BD169B" w:rsidRDefault="00BD169B" w:rsidP="00BD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BD169B" w:rsidRPr="00BD169B" w:rsidTr="007E37D5">
        <w:tc>
          <w:tcPr>
            <w:tcW w:w="3544" w:type="dxa"/>
            <w:shd w:val="clear" w:color="auto" w:fill="auto"/>
          </w:tcPr>
          <w:p w:rsidR="00BD169B" w:rsidRPr="00BD169B" w:rsidRDefault="00BD169B" w:rsidP="00BD169B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</w:pPr>
            <w:r w:rsidRPr="00BD169B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>«15» октября 2013 г.</w:t>
            </w:r>
          </w:p>
        </w:tc>
        <w:tc>
          <w:tcPr>
            <w:tcW w:w="2126" w:type="dxa"/>
            <w:shd w:val="clear" w:color="auto" w:fill="auto"/>
          </w:tcPr>
          <w:p w:rsidR="00BD169B" w:rsidRPr="00BD169B" w:rsidRDefault="00BD169B" w:rsidP="00375595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169B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375595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218</w:t>
            </w:r>
          </w:p>
        </w:tc>
        <w:tc>
          <w:tcPr>
            <w:tcW w:w="3793" w:type="dxa"/>
            <w:shd w:val="clear" w:color="auto" w:fill="auto"/>
          </w:tcPr>
          <w:p w:rsidR="00BD169B" w:rsidRPr="00BD169B" w:rsidRDefault="00BD169B" w:rsidP="00BD169B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</w:pPr>
            <w:r w:rsidRPr="00BD169B"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  <w:t xml:space="preserve">    г. Москва</w:t>
            </w:r>
          </w:p>
        </w:tc>
      </w:tr>
    </w:tbl>
    <w:p w:rsidR="006B15B4" w:rsidRDefault="006B15B4" w:rsidP="006B1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6B15B4" w:rsidRPr="006B15B4" w:rsidRDefault="006B15B4" w:rsidP="006B1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порядке введения в действие технического регламента</w:t>
      </w:r>
    </w:p>
    <w:p w:rsidR="006B15B4" w:rsidRPr="006B15B4" w:rsidRDefault="006B15B4" w:rsidP="006B1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Таможенного союза «О безопасности оборудования, </w:t>
      </w:r>
    </w:p>
    <w:p w:rsidR="006B15B4" w:rsidRPr="006B15B4" w:rsidRDefault="006B15B4" w:rsidP="006B1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работающего под избыточным давлением» </w:t>
      </w:r>
    </w:p>
    <w:p w:rsidR="006B15B4" w:rsidRPr="006B15B4" w:rsidRDefault="006B15B4" w:rsidP="006B1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(ТР ТС 032/2013)</w:t>
      </w:r>
    </w:p>
    <w:p w:rsidR="006B15B4" w:rsidRPr="006B15B4" w:rsidRDefault="006B15B4" w:rsidP="006B15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B4" w:rsidRPr="006B15B4" w:rsidRDefault="006B15B4" w:rsidP="006B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</w:t>
      </w:r>
      <w:r w:rsidRPr="006B15B4">
        <w:rPr>
          <w:rFonts w:ascii="Times New Roman" w:eastAsia="Times New Roman" w:hAnsi="Times New Roman" w:cs="Times New Roman"/>
          <w:b/>
          <w:color w:val="000000"/>
          <w:spacing w:val="20"/>
          <w:sz w:val="30"/>
          <w:szCs w:val="30"/>
          <w:lang w:eastAsia="ru-RU"/>
        </w:rPr>
        <w:t xml:space="preserve"> </w:t>
      </w:r>
      <w:r w:rsidRPr="006B15B4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Pr="006B15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а:</w:t>
      </w:r>
    </w:p>
    <w:p w:rsidR="006B15B4" w:rsidRPr="006B15B4" w:rsidRDefault="006B15B4" w:rsidP="006B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Установить, что:</w:t>
      </w:r>
    </w:p>
    <w:p w:rsidR="006B15B4" w:rsidRPr="006B15B4" w:rsidRDefault="006B15B4" w:rsidP="006B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 документы об оценке (подтверждении) соответствия обязательным требованиям, установленным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 – члена Таможенного союза и Единого экономического пространства, выданные или принятые в отношении продукции, являющейся объектом технического регулирования технического регламента Таможенного союза «О безопасности оборудования, работающего под избыточным давлением» (ТР ТС 032/2013)                  (далее соответственно  – государство-член, продукция, технический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регламент), до дня вступления в силу технического регламента, действительны до окончания срока их действия, но не позднее                     1 августа 2015 г. </w:t>
      </w:r>
    </w:p>
    <w:p w:rsidR="006B15B4" w:rsidRPr="006B15B4" w:rsidRDefault="006B15B4" w:rsidP="006B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дня вступления в силу технического регламента выдача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или принятие документов об оценке (подтверждении) соответствия продукции обязательным требованиям, ранее установленным нормативными правовыми актами, составляющими договорно-правовую базу Таможенного союза и Единого э</w:t>
      </w:r>
      <w:bookmarkStart w:id="0" w:name="_GoBack"/>
      <w:bookmarkEnd w:id="0"/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кономического пространства, или законодательством государства-члена,                             не допускается;</w:t>
      </w:r>
    </w:p>
    <w:p w:rsidR="006B15B4" w:rsidRPr="006B15B4" w:rsidRDefault="006B15B4" w:rsidP="006B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 до 1 августа 2014 г. допускаются производство и выпуск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актам, составляющим                 договорно-правовую базу Таможенного союза и Единого экономического пространства, или законодательству государства-члена,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</w:t>
      </w:r>
    </w:p>
    <w:p w:rsidR="006B15B4" w:rsidRPr="006B15B4" w:rsidRDefault="006B15B4" w:rsidP="006B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в) до 1 августа 2015 г. допускаются производство и выпуск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обращение на таможенной территории Таможенного союза продукции в соответствии с обязательными требованиями, ранее установленными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государства-члена, при наличии документов об оценке (подтверждении) соответствия продукции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указанным обязательным требованиям, выданных или принятых до дня вступления в силу технического регламента.</w:t>
      </w:r>
    </w:p>
    <w:p w:rsidR="006B15B4" w:rsidRPr="006B15B4" w:rsidRDefault="006B15B4" w:rsidP="006B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государств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членов Таможенного союза не допускается;</w:t>
      </w:r>
    </w:p>
    <w:p w:rsidR="006B15B4" w:rsidRPr="006B15B4" w:rsidRDefault="006B15B4" w:rsidP="006B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г) обращение продукции, выпущенной в обращение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таможенной территории Таможенного союза в период действия документов об оценке (подтверждении) соответствия, указанных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подпункте «а» настоящего пункта, а также продукции, указанной </w:t>
      </w: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подпункте «б» настоящего пункта, допускается в течение срока службы продукции, установленного в соответствии с законодательством государства-члена.</w:t>
      </w:r>
    </w:p>
    <w:p w:rsidR="006B15B4" w:rsidRPr="006B15B4" w:rsidRDefault="006B15B4" w:rsidP="006B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>2. Члену Коллегии (Министру) по вопросам технического регулирования Евразийской экономической комиссии Корешкову В.Н. совместно с государствами-членами подготовить проект плана мероприятий, необходимых для реализации технического регламента,             и в 3-месячный срок со дня вступления в силу настоящего Решения обеспечить его представление для рассмотрения на заседании Коллегии Евразийской экономической комиссии в установленном порядке.</w:t>
      </w:r>
    </w:p>
    <w:p w:rsidR="006B15B4" w:rsidRPr="006B15B4" w:rsidRDefault="006B15B4" w:rsidP="006B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Государствам-членам: </w:t>
      </w:r>
    </w:p>
    <w:p w:rsidR="006B15B4" w:rsidRPr="006B15B4" w:rsidRDefault="006B15B4" w:rsidP="006B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>а) до дня вступления в силу технического регламента определить органы государственного контроля (надзора), ответственные                      за осуществление государственного контроля (надзора) за соблюдением требований технического регламента, и информировать об этом Коллегию Евразийской экономической комиссии;</w:t>
      </w:r>
    </w:p>
    <w:p w:rsidR="006B15B4" w:rsidRPr="006B15B4" w:rsidRDefault="006B15B4" w:rsidP="006B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б)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пункта 1 настоящего Решения. </w:t>
      </w:r>
    </w:p>
    <w:p w:rsidR="006B15B4" w:rsidRPr="006B15B4" w:rsidRDefault="006B15B4" w:rsidP="006B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Решение вступает в силу по истечении                             30 календарных дней с даты его официального опубликования.</w:t>
      </w:r>
    </w:p>
    <w:p w:rsidR="006B15B4" w:rsidRPr="006B15B4" w:rsidRDefault="006B15B4" w:rsidP="006B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15B4" w:rsidRPr="006B15B4" w:rsidRDefault="006B15B4" w:rsidP="006B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Ind w:w="28" w:type="dxa"/>
        <w:tblLook w:val="04A0"/>
      </w:tblPr>
      <w:tblGrid>
        <w:gridCol w:w="5593"/>
        <w:gridCol w:w="3977"/>
      </w:tblGrid>
      <w:tr w:rsidR="006B15B4" w:rsidRPr="006B15B4" w:rsidTr="006B7004">
        <w:tc>
          <w:tcPr>
            <w:tcW w:w="4785" w:type="dxa"/>
            <w:shd w:val="clear" w:color="auto" w:fill="auto"/>
          </w:tcPr>
          <w:p w:rsidR="006B15B4" w:rsidRPr="006B15B4" w:rsidRDefault="006B15B4" w:rsidP="006B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Коллегии</w:t>
            </w:r>
          </w:p>
          <w:p w:rsidR="006B15B4" w:rsidRPr="006B15B4" w:rsidRDefault="006B15B4" w:rsidP="006B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3402" w:type="dxa"/>
            <w:shd w:val="clear" w:color="auto" w:fill="auto"/>
          </w:tcPr>
          <w:p w:rsidR="006B15B4" w:rsidRPr="006B15B4" w:rsidRDefault="006B15B4" w:rsidP="006B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B15B4" w:rsidRPr="006B15B4" w:rsidRDefault="006B15B4" w:rsidP="006B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 Христенко</w:t>
            </w:r>
          </w:p>
        </w:tc>
      </w:tr>
    </w:tbl>
    <w:p w:rsidR="007E1C1D" w:rsidRDefault="007E1C1D" w:rsidP="006B15B4">
      <w:pPr>
        <w:spacing w:after="0" w:line="240" w:lineRule="auto"/>
        <w:contextualSpacing/>
        <w:jc w:val="center"/>
      </w:pPr>
    </w:p>
    <w:sectPr w:rsidR="007E1C1D" w:rsidSect="006B15B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9E" w:rsidRDefault="008F1F9E" w:rsidP="006B15B4">
      <w:pPr>
        <w:spacing w:after="0" w:line="240" w:lineRule="auto"/>
      </w:pPr>
      <w:r>
        <w:separator/>
      </w:r>
    </w:p>
  </w:endnote>
  <w:endnote w:type="continuationSeparator" w:id="0">
    <w:p w:rsidR="008F1F9E" w:rsidRDefault="008F1F9E" w:rsidP="006B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9E" w:rsidRDefault="008F1F9E" w:rsidP="006B15B4">
      <w:pPr>
        <w:spacing w:after="0" w:line="240" w:lineRule="auto"/>
      </w:pPr>
      <w:r>
        <w:separator/>
      </w:r>
    </w:p>
  </w:footnote>
  <w:footnote w:type="continuationSeparator" w:id="0">
    <w:p w:rsidR="008F1F9E" w:rsidRDefault="008F1F9E" w:rsidP="006B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202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B15B4" w:rsidRPr="006B15B4" w:rsidRDefault="008E35C7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15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B15B4" w:rsidRPr="006B15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15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F5C61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6B15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B15B4" w:rsidRDefault="006B15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61" w:rsidRPr="00661C47" w:rsidRDefault="006F5C61" w:rsidP="006F5C61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6F5C61" w:rsidRPr="0021649B" w:rsidRDefault="006F5C61" w:rsidP="006F5C61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6F5C61" w:rsidRPr="0021649B" w:rsidRDefault="006F5C61" w:rsidP="006F5C61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9"/>
        <w:sz w:val="18"/>
        <w:szCs w:val="18"/>
        <w:lang w:val="en-US"/>
      </w:rPr>
      <w:t>www</w:t>
    </w:r>
    <w:r w:rsidRPr="0021649B">
      <w:rPr>
        <w:rStyle w:val="a9"/>
        <w:sz w:val="18"/>
        <w:szCs w:val="18"/>
        <w:lang w:val="en-US"/>
      </w:rPr>
      <w:t>.</w:t>
    </w:r>
    <w:r w:rsidRPr="00661C47">
      <w:rPr>
        <w:rStyle w:val="a9"/>
        <w:sz w:val="18"/>
        <w:szCs w:val="18"/>
        <w:lang w:val="en-US"/>
      </w:rPr>
      <w:t>QGC</w:t>
    </w:r>
    <w:r w:rsidRPr="0021649B">
      <w:rPr>
        <w:rStyle w:val="a9"/>
        <w:sz w:val="18"/>
        <w:szCs w:val="18"/>
        <w:lang w:val="en-US"/>
      </w:rPr>
      <w:t>.</w:t>
    </w:r>
    <w:r w:rsidRPr="00661C47">
      <w:rPr>
        <w:rStyle w:val="a9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</w:p>
  <w:p w:rsidR="006F5C61" w:rsidRPr="0021649B" w:rsidRDefault="006F5C61" w:rsidP="006F5C61">
    <w:pPr>
      <w:pStyle w:val="a5"/>
      <w:rPr>
        <w:lang w:val="en-US"/>
      </w:rPr>
    </w:pPr>
  </w:p>
  <w:p w:rsidR="006F5C61" w:rsidRDefault="006F5C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B4"/>
    <w:rsid w:val="00375595"/>
    <w:rsid w:val="006B15B4"/>
    <w:rsid w:val="006F5C61"/>
    <w:rsid w:val="007E1C1D"/>
    <w:rsid w:val="008E35C7"/>
    <w:rsid w:val="008F1F9E"/>
    <w:rsid w:val="00A44A73"/>
    <w:rsid w:val="00BA68BA"/>
    <w:rsid w:val="00BD169B"/>
    <w:rsid w:val="00C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B4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5B4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5B4"/>
    <w:rPr>
      <w:rFonts w:asciiTheme="minorHAnsi" w:hAnsiTheme="minorHAnsi"/>
    </w:rPr>
  </w:style>
  <w:style w:type="character" w:styleId="a9">
    <w:name w:val="Hyperlink"/>
    <w:basedOn w:val="a0"/>
    <w:uiPriority w:val="99"/>
    <w:unhideWhenUsed/>
    <w:rsid w:val="006F5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B4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5B4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5B4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5</cp:revision>
  <cp:lastPrinted>2013-10-15T06:05:00Z</cp:lastPrinted>
  <dcterms:created xsi:type="dcterms:W3CDTF">2013-10-11T06:27:00Z</dcterms:created>
  <dcterms:modified xsi:type="dcterms:W3CDTF">2013-10-18T10:44:00Z</dcterms:modified>
</cp:coreProperties>
</file>