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9" w:rsidRDefault="00FC3409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bookmarkStart w:id="0" w:name="_GoBack"/>
      <w:bookmarkEnd w:id="0"/>
    </w:p>
    <w:p w:rsidR="003A7BCA" w:rsidRPr="00A46F3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A46F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EAFE63" wp14:editId="482E01A4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Pr="00A46F3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C3409" w:rsidRDefault="00FC3409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</w:p>
    <w:p w:rsidR="003A7BCA" w:rsidRPr="00A46F3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A46F3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A46F3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A46F3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A46F3D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6F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801DD27" wp14:editId="6A8DDC36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37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A46F3D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A46F3D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A46F3D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190A8F" w:rsidRPr="00A46F3D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A46F3D" w:rsidTr="00D30C19">
        <w:tc>
          <w:tcPr>
            <w:tcW w:w="3544" w:type="dxa"/>
            <w:shd w:val="clear" w:color="auto" w:fill="auto"/>
          </w:tcPr>
          <w:p w:rsidR="00190A8F" w:rsidRPr="00A46F3D" w:rsidRDefault="00190A8F" w:rsidP="00735CA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735CA2"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09</w:t>
            </w:r>
            <w:r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735CA2"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августа </w:t>
            </w:r>
            <w:r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735CA2"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0A8F" w:rsidRPr="00A46F3D" w:rsidRDefault="00190A8F" w:rsidP="00F5011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46F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F50112" w:rsidRPr="00A46F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  <w:r w:rsidR="00735CA2" w:rsidRPr="00A46F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793" w:type="dxa"/>
            <w:shd w:val="clear" w:color="auto" w:fill="auto"/>
          </w:tcPr>
          <w:p w:rsidR="00190A8F" w:rsidRPr="00A46F3D" w:rsidRDefault="00190A8F" w:rsidP="00735CA2">
            <w:pPr>
              <w:tabs>
                <w:tab w:val="left" w:pos="3577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735CA2" w:rsidRPr="00A46F3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190A8F" w:rsidRPr="00A46F3D" w:rsidRDefault="00446B8C" w:rsidP="0060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A46F3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-252.1pt;width:501.75pt;height:257.8pt;z-index:-251658240;mso-position-horizontal-relative:text;mso-position-vertical-relative:text">
            <v:imagedata r:id="rId8" o:title=""/>
          </v:shape>
          <o:OLEObject Type="Embed" ProgID="PBrush" ShapeID="_x0000_s1026" DrawAspect="Content" ObjectID="_1536654701" r:id="rId9"/>
        </w:object>
      </w:r>
    </w:p>
    <w:p w:rsidR="004079B6" w:rsidRPr="00A46F3D" w:rsidRDefault="00606B1D" w:rsidP="00606B1D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A46F3D">
        <w:rPr>
          <w:rFonts w:ascii="Times New Roman" w:hAnsi="Times New Roman"/>
          <w:b/>
          <w:sz w:val="30"/>
          <w:szCs w:val="30"/>
        </w:rPr>
        <w:t xml:space="preserve">О </w:t>
      </w:r>
      <w:r w:rsidR="00FD2CAC" w:rsidRPr="00A46F3D">
        <w:rPr>
          <w:rFonts w:ascii="Times New Roman" w:hAnsi="Times New Roman"/>
          <w:b/>
          <w:sz w:val="30"/>
          <w:szCs w:val="30"/>
        </w:rPr>
        <w:t xml:space="preserve">внесении </w:t>
      </w:r>
      <w:r w:rsidR="004079B6" w:rsidRPr="00A46F3D">
        <w:rPr>
          <w:rFonts w:ascii="Times New Roman" w:hAnsi="Times New Roman"/>
          <w:b/>
          <w:sz w:val="30"/>
          <w:szCs w:val="30"/>
        </w:rPr>
        <w:t>изменени</w:t>
      </w:r>
      <w:r w:rsidR="00FD2CAC" w:rsidRPr="00A46F3D">
        <w:rPr>
          <w:rFonts w:ascii="Times New Roman" w:hAnsi="Times New Roman"/>
          <w:b/>
          <w:sz w:val="30"/>
          <w:szCs w:val="30"/>
        </w:rPr>
        <w:t>й</w:t>
      </w:r>
      <w:r w:rsidR="004079B6" w:rsidRPr="00A46F3D">
        <w:rPr>
          <w:rFonts w:ascii="Times New Roman" w:hAnsi="Times New Roman"/>
          <w:b/>
          <w:sz w:val="30"/>
          <w:szCs w:val="30"/>
        </w:rPr>
        <w:t xml:space="preserve"> в технический регламент </w:t>
      </w:r>
      <w:r w:rsidR="00FD2CAC" w:rsidRPr="00A46F3D">
        <w:rPr>
          <w:rFonts w:ascii="Times New Roman" w:hAnsi="Times New Roman"/>
          <w:b/>
          <w:sz w:val="30"/>
          <w:szCs w:val="30"/>
        </w:rPr>
        <w:br/>
      </w:r>
      <w:r w:rsidR="004079B6" w:rsidRPr="00A46F3D">
        <w:rPr>
          <w:rFonts w:ascii="Times New Roman" w:hAnsi="Times New Roman"/>
          <w:b/>
          <w:sz w:val="30"/>
          <w:szCs w:val="30"/>
        </w:rPr>
        <w:t xml:space="preserve">Таможенного союза «О безопасности </w:t>
      </w:r>
      <w:r w:rsidR="00EF3A3E" w:rsidRPr="00A46F3D">
        <w:rPr>
          <w:rFonts w:ascii="Times New Roman" w:hAnsi="Times New Roman"/>
          <w:b/>
          <w:sz w:val="30"/>
          <w:szCs w:val="30"/>
        </w:rPr>
        <w:t>продукции легкой промышленности</w:t>
      </w:r>
      <w:r w:rsidR="00F77CDC" w:rsidRPr="00A46F3D">
        <w:rPr>
          <w:rFonts w:ascii="Times New Roman" w:hAnsi="Times New Roman"/>
          <w:b/>
          <w:sz w:val="30"/>
          <w:szCs w:val="30"/>
        </w:rPr>
        <w:t>»</w:t>
      </w:r>
      <w:r w:rsidR="00EF3A3E" w:rsidRPr="00A46F3D">
        <w:rPr>
          <w:rFonts w:ascii="Times New Roman" w:hAnsi="Times New Roman"/>
          <w:b/>
          <w:sz w:val="30"/>
          <w:szCs w:val="30"/>
        </w:rPr>
        <w:t xml:space="preserve"> </w:t>
      </w:r>
      <w:r w:rsidR="004079B6" w:rsidRPr="00A46F3D">
        <w:rPr>
          <w:rFonts w:ascii="Times New Roman" w:hAnsi="Times New Roman"/>
          <w:b/>
          <w:sz w:val="30"/>
          <w:szCs w:val="30"/>
        </w:rPr>
        <w:t>(ТР ТС 01</w:t>
      </w:r>
      <w:r w:rsidR="00EF3A3E" w:rsidRPr="00A46F3D">
        <w:rPr>
          <w:rFonts w:ascii="Times New Roman" w:hAnsi="Times New Roman"/>
          <w:b/>
          <w:sz w:val="30"/>
          <w:szCs w:val="30"/>
        </w:rPr>
        <w:t>7</w:t>
      </w:r>
      <w:r w:rsidR="004079B6" w:rsidRPr="00A46F3D">
        <w:rPr>
          <w:rFonts w:ascii="Times New Roman" w:hAnsi="Times New Roman"/>
          <w:b/>
          <w:sz w:val="30"/>
          <w:szCs w:val="30"/>
        </w:rPr>
        <w:t>/2011)</w:t>
      </w:r>
    </w:p>
    <w:p w:rsidR="00606B1D" w:rsidRPr="00A46F3D" w:rsidRDefault="00606B1D" w:rsidP="006F50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3D">
        <w:rPr>
          <w:rStyle w:val="s1"/>
          <w:b w:val="0"/>
          <w:sz w:val="30"/>
          <w:szCs w:val="30"/>
        </w:rPr>
        <w:t> </w:t>
      </w:r>
    </w:p>
    <w:p w:rsidR="00606B1D" w:rsidRPr="00A46F3D" w:rsidRDefault="00606B1D" w:rsidP="006F50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b/>
          <w:sz w:val="30"/>
          <w:szCs w:val="30"/>
        </w:rPr>
        <w:tab/>
      </w:r>
      <w:r w:rsidRPr="00A46F3D">
        <w:rPr>
          <w:rFonts w:ascii="Times New Roman" w:hAnsi="Times New Roman" w:cs="Times New Roman"/>
          <w:color w:val="000000"/>
          <w:sz w:val="30"/>
          <w:szCs w:val="30"/>
        </w:rPr>
        <w:t>В соответствии со статьей 52 Договора о Евразийском экономическом союзе от 29 мая 2014 года</w:t>
      </w:r>
      <w:r w:rsidR="00143B53" w:rsidRPr="00A46F3D">
        <w:rPr>
          <w:rFonts w:ascii="Times New Roman" w:hAnsi="Times New Roman" w:cs="Times New Roman"/>
          <w:color w:val="000000"/>
          <w:sz w:val="30"/>
          <w:szCs w:val="30"/>
        </w:rPr>
        <w:t xml:space="preserve"> и пунктом 29 </w:t>
      </w:r>
      <w:r w:rsidR="00143B53" w:rsidRPr="00A46F3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A46F3D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A46F3D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A46F3D">
        <w:rPr>
          <w:rFonts w:ascii="Times New Roman" w:hAnsi="Times New Roman" w:cs="Times New Roman"/>
          <w:b/>
          <w:sz w:val="30"/>
          <w:szCs w:val="30"/>
        </w:rPr>
        <w:t>л:</w:t>
      </w:r>
      <w:r w:rsidRPr="00A46F3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79B6" w:rsidRPr="00A46F3D" w:rsidRDefault="00606B1D" w:rsidP="004D35D0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1. 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4079B6" w:rsidRPr="00A46F3D">
        <w:rPr>
          <w:rFonts w:ascii="Times New Roman" w:hAnsi="Times New Roman" w:cs="Times New Roman"/>
          <w:sz w:val="30"/>
          <w:szCs w:val="30"/>
        </w:rPr>
        <w:t xml:space="preserve">технический регламент Таможенного союза </w:t>
      </w:r>
      <w:r w:rsidR="00143B53" w:rsidRPr="00A46F3D">
        <w:rPr>
          <w:rFonts w:ascii="Times New Roman" w:hAnsi="Times New Roman" w:cs="Times New Roman"/>
          <w:sz w:val="30"/>
          <w:szCs w:val="30"/>
        </w:rPr>
        <w:br/>
      </w:r>
      <w:r w:rsidR="004079B6" w:rsidRPr="00A46F3D">
        <w:rPr>
          <w:rFonts w:ascii="Times New Roman" w:hAnsi="Times New Roman" w:cs="Times New Roman"/>
          <w:sz w:val="30"/>
          <w:szCs w:val="30"/>
        </w:rPr>
        <w:t xml:space="preserve">«О безопасности </w:t>
      </w:r>
      <w:r w:rsidR="00EF3A3E" w:rsidRPr="00A46F3D">
        <w:rPr>
          <w:rFonts w:ascii="Times New Roman" w:hAnsi="Times New Roman" w:cs="Times New Roman"/>
          <w:sz w:val="30"/>
          <w:szCs w:val="30"/>
        </w:rPr>
        <w:t>продукции легкой промышленности</w:t>
      </w:r>
      <w:r w:rsidR="004079B6" w:rsidRPr="00A46F3D">
        <w:rPr>
          <w:rFonts w:ascii="Times New Roman" w:hAnsi="Times New Roman" w:cs="Times New Roman"/>
          <w:sz w:val="30"/>
          <w:szCs w:val="30"/>
        </w:rPr>
        <w:t>»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 (ТР ТС 01</w:t>
      </w:r>
      <w:r w:rsidR="00EF3A3E" w:rsidRPr="00A46F3D">
        <w:rPr>
          <w:rFonts w:ascii="Times New Roman" w:hAnsi="Times New Roman" w:cs="Times New Roman"/>
          <w:sz w:val="30"/>
          <w:szCs w:val="30"/>
        </w:rPr>
        <w:t>7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/2011), </w:t>
      </w:r>
      <w:r w:rsidR="005C7814" w:rsidRPr="00A46F3D">
        <w:rPr>
          <w:rFonts w:ascii="Times New Roman" w:hAnsi="Times New Roman" w:cs="Times New Roman"/>
          <w:sz w:val="30"/>
          <w:szCs w:val="30"/>
        </w:rPr>
        <w:t>принятый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 Решением Комиссии Таможенного союза от </w:t>
      </w:r>
      <w:r w:rsidR="004569FC" w:rsidRPr="00A46F3D">
        <w:rPr>
          <w:rFonts w:ascii="Times New Roman" w:hAnsi="Times New Roman" w:cs="Times New Roman"/>
          <w:sz w:val="30"/>
          <w:szCs w:val="30"/>
        </w:rPr>
        <w:t>9 декабря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 2011 г. № </w:t>
      </w:r>
      <w:r w:rsidR="006774D0" w:rsidRPr="00A46F3D">
        <w:rPr>
          <w:rFonts w:ascii="Times New Roman" w:hAnsi="Times New Roman" w:cs="Times New Roman"/>
          <w:sz w:val="30"/>
          <w:szCs w:val="30"/>
        </w:rPr>
        <w:t>8</w:t>
      </w:r>
      <w:r w:rsidR="004569FC" w:rsidRPr="00A46F3D">
        <w:rPr>
          <w:rFonts w:ascii="Times New Roman" w:hAnsi="Times New Roman" w:cs="Times New Roman"/>
          <w:sz w:val="30"/>
          <w:szCs w:val="30"/>
        </w:rPr>
        <w:t>76</w:t>
      </w:r>
      <w:r w:rsidR="006774D0" w:rsidRPr="00A46F3D">
        <w:rPr>
          <w:rFonts w:ascii="Times New Roman" w:hAnsi="Times New Roman" w:cs="Times New Roman"/>
          <w:sz w:val="30"/>
          <w:szCs w:val="30"/>
        </w:rPr>
        <w:t>, изменени</w:t>
      </w:r>
      <w:r w:rsidR="00FD2CAC" w:rsidRPr="00A46F3D">
        <w:rPr>
          <w:rFonts w:ascii="Times New Roman" w:hAnsi="Times New Roman" w:cs="Times New Roman"/>
          <w:sz w:val="30"/>
          <w:szCs w:val="30"/>
        </w:rPr>
        <w:t>я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6F50EC" w:rsidRPr="00A46F3D" w:rsidRDefault="004D35D0" w:rsidP="004D35D0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2. Установить, что документы о подтверждении соответствия продукции легкой промышленности обязательным требованиям, установленным техническим регламентом Таможенного союза </w:t>
      </w:r>
      <w:r w:rsidRPr="00A46F3D">
        <w:rPr>
          <w:rFonts w:ascii="Times New Roman" w:hAnsi="Times New Roman" w:cs="Times New Roman"/>
          <w:sz w:val="30"/>
          <w:szCs w:val="30"/>
        </w:rPr>
        <w:br/>
        <w:t xml:space="preserve">«О безопасности продукции легкой промышленности» </w:t>
      </w:r>
      <w:r w:rsidRPr="00A46F3D">
        <w:rPr>
          <w:rFonts w:ascii="Times New Roman" w:hAnsi="Times New Roman" w:cs="Times New Roman"/>
          <w:sz w:val="30"/>
          <w:szCs w:val="30"/>
        </w:rPr>
        <w:br/>
      </w:r>
      <w:r w:rsidRPr="00A46F3D">
        <w:rPr>
          <w:rFonts w:ascii="Times New Roman" w:hAnsi="Times New Roman" w:cs="Times New Roman"/>
          <w:sz w:val="30"/>
          <w:szCs w:val="30"/>
        </w:rPr>
        <w:lastRenderedPageBreak/>
        <w:t>(ТР ТС 017/2011),</w:t>
      </w:r>
      <w:r w:rsidR="008B175E" w:rsidRPr="00A46F3D">
        <w:rPr>
          <w:rFonts w:ascii="Times New Roman" w:hAnsi="Times New Roman" w:cs="Times New Roman"/>
          <w:sz w:val="30"/>
          <w:szCs w:val="30"/>
        </w:rPr>
        <w:t xml:space="preserve"> приняты</w:t>
      </w:r>
      <w:r w:rsidR="005D3422" w:rsidRPr="00A46F3D">
        <w:rPr>
          <w:rFonts w:ascii="Times New Roman" w:hAnsi="Times New Roman" w:cs="Times New Roman"/>
          <w:sz w:val="30"/>
          <w:szCs w:val="30"/>
        </w:rPr>
        <w:t>м</w:t>
      </w:r>
      <w:r w:rsidR="008B175E" w:rsidRPr="00A46F3D">
        <w:rPr>
          <w:rFonts w:ascii="Times New Roman" w:hAnsi="Times New Roman" w:cs="Times New Roman"/>
          <w:sz w:val="30"/>
          <w:szCs w:val="30"/>
        </w:rPr>
        <w:t xml:space="preserve"> Решением Комиссии Таможенного союза </w:t>
      </w:r>
      <w:r w:rsidR="006F50EC" w:rsidRPr="00A46F3D">
        <w:rPr>
          <w:rFonts w:ascii="Times New Roman" w:hAnsi="Times New Roman" w:cs="Times New Roman"/>
          <w:sz w:val="30"/>
          <w:szCs w:val="30"/>
        </w:rPr>
        <w:br/>
      </w:r>
    </w:p>
    <w:p w:rsidR="004D35D0" w:rsidRPr="00A46F3D" w:rsidRDefault="008B175E" w:rsidP="006F50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от 9 декабря 2011 г. № 876, </w:t>
      </w:r>
      <w:r w:rsidR="004D35D0" w:rsidRPr="00A46F3D">
        <w:rPr>
          <w:rFonts w:ascii="Times New Roman" w:hAnsi="Times New Roman" w:cs="Times New Roman"/>
          <w:sz w:val="30"/>
          <w:szCs w:val="30"/>
        </w:rPr>
        <w:t>выданные или принятые до даты вступления настоящего Решения</w:t>
      </w:r>
      <w:r w:rsidRPr="00A46F3D">
        <w:rPr>
          <w:rFonts w:ascii="Times New Roman" w:hAnsi="Times New Roman" w:cs="Times New Roman"/>
          <w:sz w:val="30"/>
          <w:szCs w:val="30"/>
        </w:rPr>
        <w:t xml:space="preserve"> в силу</w:t>
      </w:r>
      <w:r w:rsidR="004D35D0" w:rsidRPr="00A46F3D">
        <w:rPr>
          <w:rFonts w:ascii="Times New Roman" w:hAnsi="Times New Roman" w:cs="Times New Roman"/>
          <w:sz w:val="30"/>
          <w:szCs w:val="30"/>
        </w:rPr>
        <w:t>, действительны до окончания срока их действия.</w:t>
      </w:r>
    </w:p>
    <w:p w:rsidR="00606B1D" w:rsidRPr="00A46F3D" w:rsidRDefault="004D35D0" w:rsidP="004D35D0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3</w:t>
      </w:r>
      <w:r w:rsidR="002D207E" w:rsidRPr="00A46F3D">
        <w:rPr>
          <w:rFonts w:ascii="Times New Roman" w:hAnsi="Times New Roman" w:cs="Times New Roman"/>
          <w:sz w:val="30"/>
          <w:szCs w:val="30"/>
        </w:rPr>
        <w:t>. </w:t>
      </w:r>
      <w:r w:rsidR="004079B6" w:rsidRPr="00A46F3D">
        <w:rPr>
          <w:rFonts w:ascii="Times New Roman" w:hAnsi="Times New Roman" w:cs="Times New Roman"/>
          <w:sz w:val="30"/>
          <w:szCs w:val="30"/>
        </w:rPr>
        <w:t xml:space="preserve">Настоящее Решение вступает в силу по истечении </w:t>
      </w:r>
      <w:r w:rsidR="00C600D5" w:rsidRPr="00A46F3D">
        <w:rPr>
          <w:rFonts w:ascii="Times New Roman" w:hAnsi="Times New Roman" w:cs="Times New Roman"/>
          <w:sz w:val="30"/>
          <w:szCs w:val="30"/>
        </w:rPr>
        <w:t>12</w:t>
      </w:r>
      <w:r w:rsidR="00143B53" w:rsidRPr="00A46F3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143B53" w:rsidRPr="00A46F3D">
        <w:rPr>
          <w:rFonts w:ascii="Times New Roman" w:hAnsi="Times New Roman" w:cs="Times New Roman"/>
          <w:sz w:val="30"/>
          <w:szCs w:val="30"/>
        </w:rPr>
        <w:br/>
      </w:r>
      <w:r w:rsidR="004079B6" w:rsidRPr="00A46F3D">
        <w:rPr>
          <w:rFonts w:ascii="Times New Roman" w:hAnsi="Times New Roman" w:cs="Times New Roman"/>
          <w:sz w:val="30"/>
          <w:szCs w:val="30"/>
        </w:rPr>
        <w:t>с даты его официального опубликования.</w:t>
      </w:r>
    </w:p>
    <w:p w:rsidR="009E2DCF" w:rsidRPr="00A46F3D" w:rsidRDefault="009E2DCF" w:rsidP="006F50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F50EC" w:rsidRPr="00A46F3D" w:rsidRDefault="006F50EC" w:rsidP="006F50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F50EC" w:rsidRPr="00A46F3D" w:rsidRDefault="006F50EC" w:rsidP="006F50EC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6F50EC" w:rsidRPr="00A46F3D" w:rsidRDefault="006F50EC" w:rsidP="006F50EC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6F50EC" w:rsidRPr="00A46F3D" w:rsidTr="00055ED2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6F50EC" w:rsidRPr="00A46F3D" w:rsidRDefault="006F50EC" w:rsidP="00055ED2">
            <w:pPr>
              <w:spacing w:after="0" w:line="240" w:lineRule="auto"/>
              <w:ind w:left="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6F50EC" w:rsidRPr="00A46F3D" w:rsidRDefault="006F50EC" w:rsidP="00055ED2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6F50EC" w:rsidRPr="00A46F3D" w:rsidRDefault="006F50EC" w:rsidP="00055ED2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6F50EC" w:rsidRPr="00A46F3D" w:rsidRDefault="006F50EC" w:rsidP="00055ED2">
            <w:pPr>
              <w:spacing w:after="0" w:line="240" w:lineRule="auto"/>
              <w:ind w:left="-57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6F50EC" w:rsidRPr="00A46F3D" w:rsidRDefault="006F50EC" w:rsidP="00055ED2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6F50EC" w:rsidRPr="00A46F3D" w:rsidTr="00055ED2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113" w:right="-68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firstLine="5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</w:p>
          <w:p w:rsidR="006F50EC" w:rsidRPr="00A46F3D" w:rsidRDefault="006F50EC" w:rsidP="00055ED2">
            <w:pPr>
              <w:spacing w:after="0" w:line="240" w:lineRule="auto"/>
              <w:ind w:right="-68" w:hanging="142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Б. </w:t>
            </w:r>
            <w:proofErr w:type="spellStart"/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Сагинтаев</w:t>
            </w:r>
            <w:proofErr w:type="spellEnd"/>
          </w:p>
        </w:tc>
        <w:tc>
          <w:tcPr>
            <w:tcW w:w="2025" w:type="dxa"/>
            <w:vAlign w:val="bottom"/>
          </w:tcPr>
          <w:p w:rsidR="006F50EC" w:rsidRPr="00A46F3D" w:rsidRDefault="006F50EC" w:rsidP="00055ED2">
            <w:pPr>
              <w:spacing w:after="0" w:line="240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О. Панкратов</w:t>
            </w:r>
          </w:p>
        </w:tc>
        <w:tc>
          <w:tcPr>
            <w:tcW w:w="1944" w:type="dxa"/>
            <w:vAlign w:val="bottom"/>
          </w:tcPr>
          <w:p w:rsidR="006F50EC" w:rsidRPr="00A46F3D" w:rsidRDefault="006F50EC" w:rsidP="00055ED2">
            <w:pPr>
              <w:spacing w:after="0" w:line="240" w:lineRule="auto"/>
              <w:ind w:left="-113" w:right="-68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46F3D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6F50EC" w:rsidRPr="00A46F3D" w:rsidRDefault="006F50EC" w:rsidP="006F5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A46F3D" w:rsidRPr="00A46F3D" w:rsidRDefault="00A46F3D" w:rsidP="00A46F3D">
      <w:pPr>
        <w:pStyle w:val="Default"/>
        <w:spacing w:line="360" w:lineRule="auto"/>
        <w:ind w:left="4253"/>
        <w:jc w:val="center"/>
        <w:rPr>
          <w:sz w:val="30"/>
          <w:szCs w:val="30"/>
        </w:rPr>
      </w:pPr>
      <w:r w:rsidRPr="00A46F3D">
        <w:rPr>
          <w:sz w:val="30"/>
          <w:szCs w:val="30"/>
        </w:rPr>
        <w:t>ПРИЛОЖЕНИЕ</w:t>
      </w:r>
    </w:p>
    <w:p w:rsidR="00A46F3D" w:rsidRPr="00A46F3D" w:rsidRDefault="00A46F3D" w:rsidP="00A46F3D">
      <w:pPr>
        <w:pStyle w:val="Default"/>
        <w:ind w:left="4253"/>
        <w:jc w:val="center"/>
        <w:rPr>
          <w:sz w:val="30"/>
          <w:szCs w:val="30"/>
        </w:rPr>
      </w:pPr>
      <w:r w:rsidRPr="00A46F3D">
        <w:rPr>
          <w:sz w:val="30"/>
          <w:szCs w:val="30"/>
        </w:rPr>
        <w:t>к Решению Совета</w:t>
      </w:r>
    </w:p>
    <w:p w:rsidR="00A46F3D" w:rsidRPr="00A46F3D" w:rsidRDefault="00A46F3D" w:rsidP="00A46F3D">
      <w:pPr>
        <w:pStyle w:val="Default"/>
        <w:ind w:left="4253"/>
        <w:jc w:val="center"/>
        <w:rPr>
          <w:sz w:val="30"/>
          <w:szCs w:val="30"/>
        </w:rPr>
      </w:pPr>
      <w:r w:rsidRPr="00A46F3D">
        <w:rPr>
          <w:sz w:val="30"/>
          <w:szCs w:val="30"/>
        </w:rPr>
        <w:t>Евразийской экономической комиссии</w:t>
      </w:r>
    </w:p>
    <w:p w:rsidR="00A46F3D" w:rsidRPr="00A46F3D" w:rsidRDefault="00A46F3D" w:rsidP="00A46F3D">
      <w:pPr>
        <w:ind w:left="4253"/>
        <w:jc w:val="center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от 9 августа 2016 г. № 60</w:t>
      </w:r>
    </w:p>
    <w:p w:rsidR="00A46F3D" w:rsidRPr="00A46F3D" w:rsidRDefault="00A46F3D" w:rsidP="00A46F3D">
      <w:pPr>
        <w:ind w:right="1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3D" w:rsidRPr="00A46F3D" w:rsidRDefault="00A46F3D" w:rsidP="00A46F3D">
      <w:pPr>
        <w:ind w:right="1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3D" w:rsidRPr="00A46F3D" w:rsidRDefault="00A46F3D" w:rsidP="00A46F3D">
      <w:pPr>
        <w:ind w:right="1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6F3D">
        <w:rPr>
          <w:rFonts w:ascii="Times New Roman" w:hAnsi="Times New Roman" w:cs="Times New Roman"/>
          <w:b/>
          <w:spacing w:val="40"/>
          <w:sz w:val="30"/>
          <w:szCs w:val="30"/>
        </w:rPr>
        <w:t>ИЗМЕНЕНИ</w:t>
      </w:r>
      <w:r w:rsidRPr="00A46F3D">
        <w:rPr>
          <w:rFonts w:ascii="Times New Roman" w:hAnsi="Times New Roman" w:cs="Times New Roman"/>
          <w:b/>
          <w:sz w:val="30"/>
          <w:szCs w:val="30"/>
        </w:rPr>
        <w:t>Я,</w:t>
      </w:r>
    </w:p>
    <w:p w:rsidR="00A46F3D" w:rsidRPr="00A46F3D" w:rsidRDefault="00A46F3D" w:rsidP="00A46F3D">
      <w:pPr>
        <w:ind w:right="1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6F3D">
        <w:rPr>
          <w:rFonts w:ascii="Times New Roman" w:hAnsi="Times New Roman" w:cs="Times New Roman"/>
          <w:b/>
          <w:sz w:val="30"/>
          <w:szCs w:val="30"/>
        </w:rPr>
        <w:t>вносимые в технический регламент Таможенного союза</w:t>
      </w:r>
    </w:p>
    <w:p w:rsidR="00A46F3D" w:rsidRPr="00A46F3D" w:rsidRDefault="00A46F3D" w:rsidP="00A46F3D">
      <w:pPr>
        <w:ind w:right="1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6F3D">
        <w:rPr>
          <w:rFonts w:ascii="Times New Roman" w:hAnsi="Times New Roman" w:cs="Times New Roman"/>
          <w:b/>
          <w:sz w:val="30"/>
          <w:szCs w:val="30"/>
        </w:rPr>
        <w:t xml:space="preserve">«О безопасности продукции легкой промышленности» </w:t>
      </w:r>
      <w:r w:rsidRPr="00A46F3D">
        <w:rPr>
          <w:rFonts w:ascii="Times New Roman" w:hAnsi="Times New Roman" w:cs="Times New Roman"/>
          <w:b/>
          <w:sz w:val="30"/>
          <w:szCs w:val="30"/>
        </w:rPr>
        <w:br/>
        <w:t>(ТР ТС 017/2011)</w:t>
      </w:r>
    </w:p>
    <w:p w:rsidR="00A46F3D" w:rsidRPr="00A46F3D" w:rsidRDefault="00A46F3D" w:rsidP="00A46F3D">
      <w:pPr>
        <w:pStyle w:val="a7"/>
        <w:ind w:left="-360" w:right="340"/>
        <w:jc w:val="both"/>
        <w:rPr>
          <w:rFonts w:ascii="Times New Roman" w:hAnsi="Times New Roman" w:cs="Times New Roman"/>
          <w:szCs w:val="28"/>
        </w:rPr>
      </w:pPr>
      <w:r w:rsidRPr="00A46F3D">
        <w:rPr>
          <w:rFonts w:ascii="Times New Roman" w:hAnsi="Times New Roman" w:cs="Times New Roman"/>
          <w:szCs w:val="28"/>
        </w:rPr>
        <w:tab/>
      </w:r>
      <w:r w:rsidRPr="00A46F3D">
        <w:rPr>
          <w:rFonts w:ascii="Times New Roman" w:hAnsi="Times New Roman" w:cs="Times New Roman"/>
          <w:szCs w:val="28"/>
        </w:rPr>
        <w:tab/>
      </w:r>
    </w:p>
    <w:p w:rsidR="00A46F3D" w:rsidRPr="00A46F3D" w:rsidRDefault="00A46F3D" w:rsidP="00A46F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1. В абзаце втором пункта 3 статьи 6 слова «веществ из материалов» заменить словами «веществ из», слова «внутренние слои обуви» </w:t>
      </w:r>
      <w:r w:rsidRPr="00A46F3D">
        <w:rPr>
          <w:rFonts w:ascii="Times New Roman" w:hAnsi="Times New Roman" w:cs="Times New Roman"/>
          <w:sz w:val="30"/>
          <w:szCs w:val="30"/>
        </w:rPr>
        <w:lastRenderedPageBreak/>
        <w:t>заменить словами «внутренняя поверхность обуви», слова «остальных видов» заменить словами «из остальных видов».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2. В статье 8: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а) абзац третий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«уровень напр</w:t>
      </w:r>
      <w:r w:rsidRPr="00A46F3D">
        <w:rPr>
          <w:rFonts w:ascii="Times New Roman" w:hAnsi="Times New Roman" w:cs="Times New Roman"/>
          <w:sz w:val="30"/>
          <w:szCs w:val="30"/>
        </w:rPr>
        <w:t>я</w:t>
      </w:r>
      <w:r w:rsidRPr="00A46F3D">
        <w:rPr>
          <w:rFonts w:ascii="Times New Roman" w:hAnsi="Times New Roman" w:cs="Times New Roman"/>
          <w:sz w:val="30"/>
          <w:szCs w:val="30"/>
        </w:rPr>
        <w:t>женности электростатического поля на поверхности изделия и содержание свободного формальдегида должны соответствовать требованиям Прилож</w:t>
      </w:r>
      <w:r w:rsidRPr="00A46F3D">
        <w:rPr>
          <w:rFonts w:ascii="Times New Roman" w:hAnsi="Times New Roman" w:cs="Times New Roman"/>
          <w:sz w:val="30"/>
          <w:szCs w:val="30"/>
        </w:rPr>
        <w:t>е</w:t>
      </w:r>
      <w:r w:rsidRPr="00A46F3D">
        <w:rPr>
          <w:rFonts w:ascii="Times New Roman" w:hAnsi="Times New Roman" w:cs="Times New Roman"/>
          <w:sz w:val="30"/>
          <w:szCs w:val="30"/>
        </w:rPr>
        <w:t>ния 2 к настоящему Техническому регламенту;»;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б) дополнить абзацем следующего содержания: 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«- контроль миграции вредных веществ проводится в воздушной или водной среде.».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3. Предложение второе абзаца восьмого пункта 2 статьи 9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  <w:r w:rsidRPr="00A46F3D">
        <w:rPr>
          <w:rStyle w:val="CharStyle15"/>
          <w:rFonts w:ascii="Times New Roman" w:hAnsi="Times New Roman" w:cs="Times New Roman"/>
          <w:sz w:val="30"/>
          <w:szCs w:val="30"/>
          <w:lang w:val="ru"/>
        </w:rPr>
        <w:t>«Процентное содержание исходного сырья указывается в виде нормативного значения с допуском в пределах +/- 5 процентов (кроме нетканых материалов);».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  <w:r w:rsidRPr="00A46F3D">
        <w:rPr>
          <w:rStyle w:val="CharStyle15"/>
          <w:rFonts w:ascii="Times New Roman" w:hAnsi="Times New Roman" w:cs="Times New Roman"/>
          <w:sz w:val="30"/>
          <w:szCs w:val="30"/>
          <w:lang w:val="ru"/>
        </w:rPr>
        <w:t>4. В статье 11: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  <w:r w:rsidRPr="00A46F3D">
        <w:rPr>
          <w:rStyle w:val="CharStyle15"/>
          <w:rFonts w:ascii="Times New Roman" w:hAnsi="Times New Roman" w:cs="Times New Roman"/>
          <w:sz w:val="30"/>
          <w:szCs w:val="30"/>
          <w:lang w:val="ru"/>
        </w:rPr>
        <w:t>а) в пункте 3: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Style w:val="CharStyle15"/>
          <w:rFonts w:ascii="Times New Roman" w:hAnsi="Times New Roman" w:cs="Times New Roman"/>
          <w:sz w:val="30"/>
          <w:szCs w:val="30"/>
          <w:lang w:val="ru"/>
        </w:rPr>
      </w:pPr>
      <w:r w:rsidRPr="00A46F3D">
        <w:rPr>
          <w:rStyle w:val="CharStyle15"/>
          <w:rFonts w:ascii="Times New Roman" w:hAnsi="Times New Roman" w:cs="Times New Roman"/>
          <w:sz w:val="30"/>
          <w:szCs w:val="30"/>
          <w:lang w:val="ru"/>
        </w:rPr>
        <w:t>в подпункте 3.1 после абзаца девятого дополнить абзацами следующего содержания: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«- белье столовое и кухонное, носовые платки;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lastRenderedPageBreak/>
        <w:t>- полотенца, простыни купальные;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- платочно-</w:t>
      </w:r>
      <w:proofErr w:type="spellStart"/>
      <w:r w:rsidRPr="00A46F3D">
        <w:rPr>
          <w:rFonts w:ascii="Times New Roman" w:hAnsi="Times New Roman" w:cs="Times New Roman"/>
          <w:sz w:val="30"/>
          <w:szCs w:val="30"/>
        </w:rPr>
        <w:t>шарфовые</w:t>
      </w:r>
      <w:proofErr w:type="spellEnd"/>
      <w:r w:rsidRPr="00A46F3D">
        <w:rPr>
          <w:rFonts w:ascii="Times New Roman" w:hAnsi="Times New Roman" w:cs="Times New Roman"/>
          <w:sz w:val="30"/>
          <w:szCs w:val="30"/>
        </w:rPr>
        <w:t xml:space="preserve"> изделия.»;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абзац двенадцатый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«- по выбору заявителя ‒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</w:t>
      </w:r>
      <w:r w:rsidRPr="00A46F3D">
        <w:rPr>
          <w:rFonts w:ascii="Times New Roman" w:hAnsi="Times New Roman" w:cs="Times New Roman"/>
          <w:sz w:val="30"/>
          <w:szCs w:val="30"/>
        </w:rPr>
        <w:br/>
        <w:t>с законодательством государства – члена Таможенного союза на его территории</w:t>
      </w:r>
      <w:r w:rsidRPr="00A46F3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6F3D">
        <w:rPr>
          <w:rFonts w:ascii="Times New Roman" w:hAnsi="Times New Roman" w:cs="Times New Roman"/>
          <w:sz w:val="30"/>
          <w:szCs w:val="30"/>
        </w:rPr>
        <w:t>(схемы 1д, 2д);»;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абзац четвертый подпункта 3.2.1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«протоколы испытаний образцов продукции легкой промышленности (типовых образцов продукции), подтверждающие ее соответствие требованиям настоящего Технического регламента (срок действия не более 3 лет), или протоколы испытаний материалов и комплектующих изделий, если выполнение требований безопасности готовой продукции обеспечивается выполнением требований безопасности данных материалов и комплектующих изделий. Испытания в зависимости от схемы декларирования соответствия должны проводиться по выбору заявителя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– члена Таможенного союза на его территории (схемы 1д, 2д), или в аккредитованной испытательной </w:t>
      </w:r>
      <w:r w:rsidRPr="00A46F3D">
        <w:rPr>
          <w:rFonts w:ascii="Times New Roman" w:hAnsi="Times New Roman" w:cs="Times New Roman"/>
          <w:sz w:val="30"/>
          <w:szCs w:val="30"/>
        </w:rPr>
        <w:lastRenderedPageBreak/>
        <w:t>лаборатории (центре), включенной в Единый реестр органов по сертификации и испытательных лабораторий (центров) Таможенного союза (схемы 3д, 4д, 6д);»;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подпункт 3.4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«3.4. Срок действия декларации о соответствии для продукции легкой промышленности, выпускаемой серийно, составляет не более 5 лет, для партии продукции легкой промышленности срок действия декларации о соответствии не устанавливается.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По желанию заявителя декларирование соответствия по схемам 1д и 2д может быть заменено декларированием соответствия по схемам 3д, 4д, 6д или сертификацией. 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 желанию заявителя декларирование соответствия по схемам 3д, 4д, 6д может быть заменено сертификацией.»;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б) в пункте 4: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абзац второй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«- белье нательное, изделия корсетные, изделия купальные;»;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подпункт 4.3 после абзаца второго дополнить абзацем следующего содержания: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«- протоколы испытаний материалов и комплектующих изделий, которые использовались при изготовлении продукции (при наличии);»;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подпункт 4.5 после абзаца четвертого дополнить абзацем следующего содержания: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lastRenderedPageBreak/>
        <w:t>«- принимает решение о возможности выдачи сертификата или об отказе в его выдаче по итогам рассмотрения результатов испытаний и анализа состояния производства (схема 1с);»;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подпункт 4.6 изложить в следующей редакции: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«4.6. Срок действия сертификата соответствия для продукции легкой промышленности, выпускаемой серийно, составляет не более 5 лет, для партии продукции легкой промышленности срок действия сертификата соответствия не устанавливается.».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bCs/>
          <w:sz w:val="30"/>
          <w:szCs w:val="30"/>
        </w:rPr>
      </w:pPr>
      <w:r w:rsidRPr="00A46F3D">
        <w:rPr>
          <w:bCs/>
          <w:sz w:val="30"/>
          <w:szCs w:val="30"/>
        </w:rPr>
        <w:t xml:space="preserve">5. Примечания к Приложению 2 к указанному техническому регламенту изложить в следующей редакции: 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rStyle w:val="CharStyle19"/>
          <w:rFonts w:ascii="Times New Roman" w:hAnsi="Times New Roman" w:cs="Times New Roman"/>
          <w:sz w:val="30"/>
          <w:szCs w:val="30"/>
          <w:lang w:val="ru"/>
        </w:rPr>
      </w:pPr>
      <w:r w:rsidRPr="00A46F3D">
        <w:rPr>
          <w:rStyle w:val="CharStyle19"/>
          <w:rFonts w:ascii="Times New Roman" w:hAnsi="Times New Roman" w:cs="Times New Roman"/>
          <w:color w:val="000000"/>
          <w:sz w:val="30"/>
          <w:szCs w:val="30"/>
          <w:lang w:val="ru"/>
        </w:rPr>
        <w:t xml:space="preserve">«* Не устанавливается требование по показателю «гигроскопичность» для белья столового и кухонного и одежды первого слоя спортивного </w:t>
      </w:r>
      <w:r w:rsidRPr="00A46F3D">
        <w:rPr>
          <w:rStyle w:val="CharStyle19"/>
          <w:rFonts w:ascii="Times New Roman" w:hAnsi="Times New Roman" w:cs="Times New Roman"/>
          <w:sz w:val="30"/>
          <w:szCs w:val="30"/>
          <w:lang w:val="ru"/>
        </w:rPr>
        <w:t>назначения (при этом обязательно указание спортивного назначения на маркировке изделий).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sz w:val="30"/>
          <w:szCs w:val="30"/>
        </w:rPr>
      </w:pPr>
      <w:r w:rsidRPr="00A46F3D">
        <w:rPr>
          <w:rStyle w:val="CharStyle19"/>
          <w:rFonts w:ascii="Times New Roman" w:hAnsi="Times New Roman" w:cs="Times New Roman"/>
          <w:color w:val="000000"/>
          <w:sz w:val="30"/>
          <w:szCs w:val="30"/>
          <w:lang w:val="ru"/>
        </w:rPr>
        <w:t>** </w:t>
      </w:r>
      <w:r w:rsidRPr="00A46F3D">
        <w:rPr>
          <w:sz w:val="30"/>
          <w:szCs w:val="30"/>
        </w:rPr>
        <w:t>Не устанавливается требование по показателю «воздухопроницаемость»:</w:t>
      </w:r>
    </w:p>
    <w:p w:rsidR="00A46F3D" w:rsidRPr="00A46F3D" w:rsidRDefault="00A46F3D" w:rsidP="00A46F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- для изделий, в которых по конструкции (сарафаны, юбки, жилеты) или по структуре материала (с рыхлым переплетением, ажурные, сетка или аналогичные) предполагается высокая воздухопроницаемость;</w:t>
      </w:r>
    </w:p>
    <w:p w:rsidR="00A46F3D" w:rsidRPr="00A46F3D" w:rsidRDefault="00A46F3D" w:rsidP="00A46F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- для изделий, имеющих конструктивные элементы, обеспечивающие воздухообмен; </w:t>
      </w:r>
    </w:p>
    <w:p w:rsidR="00A46F3D" w:rsidRPr="00A46F3D" w:rsidRDefault="00A46F3D" w:rsidP="00A46F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- для полукомбинезонов и брюк осенне-зимнего ассортимента; 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46F3D">
        <w:rPr>
          <w:rFonts w:eastAsia="Calibri"/>
          <w:sz w:val="30"/>
          <w:szCs w:val="30"/>
          <w:lang w:eastAsia="en-US"/>
        </w:rPr>
        <w:t>- для чулочно-носочных изделий (в том числе зимних), корсетных изделий;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46F3D">
        <w:rPr>
          <w:rFonts w:eastAsia="Calibri"/>
          <w:sz w:val="30"/>
          <w:szCs w:val="30"/>
          <w:lang w:eastAsia="en-US"/>
        </w:rPr>
        <w:t>- для одеял и подушек;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46F3D">
        <w:rPr>
          <w:rFonts w:eastAsia="Calibri"/>
          <w:sz w:val="30"/>
          <w:szCs w:val="30"/>
          <w:lang w:eastAsia="en-US"/>
        </w:rPr>
        <w:lastRenderedPageBreak/>
        <w:t>- для белья столового и кухонного.».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sz w:val="30"/>
          <w:szCs w:val="30"/>
        </w:rPr>
      </w:pPr>
      <w:r w:rsidRPr="00A46F3D">
        <w:rPr>
          <w:sz w:val="30"/>
          <w:szCs w:val="30"/>
        </w:rPr>
        <w:t>6. В Приложении 3 к указанному техническому регламенту: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а) в позиции «Поливинилхлоридные»: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слова «Деоктилбензол-1,2-дикарбонат» исключить;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после слов «Кадмий (</w:t>
      </w:r>
      <w:r w:rsidRPr="00A46F3D">
        <w:rPr>
          <w:rFonts w:ascii="Times New Roman" w:hAnsi="Times New Roman" w:cs="Times New Roman"/>
          <w:sz w:val="30"/>
          <w:szCs w:val="30"/>
          <w:lang w:val="en-US"/>
        </w:rPr>
        <w:t>Cd</w:t>
      </w:r>
      <w:r w:rsidRPr="00A46F3D">
        <w:rPr>
          <w:rFonts w:ascii="Times New Roman" w:hAnsi="Times New Roman" w:cs="Times New Roman"/>
          <w:sz w:val="30"/>
          <w:szCs w:val="30"/>
        </w:rPr>
        <w:t>)», «Цинк (</w:t>
      </w:r>
      <w:r w:rsidRPr="00A46F3D">
        <w:rPr>
          <w:rFonts w:ascii="Times New Roman" w:hAnsi="Times New Roman" w:cs="Times New Roman"/>
          <w:sz w:val="30"/>
          <w:szCs w:val="30"/>
          <w:lang w:val="en-US"/>
        </w:rPr>
        <w:t>Zn</w:t>
      </w:r>
      <w:r w:rsidRPr="00A46F3D">
        <w:rPr>
          <w:rFonts w:ascii="Times New Roman" w:hAnsi="Times New Roman" w:cs="Times New Roman"/>
          <w:sz w:val="30"/>
          <w:szCs w:val="30"/>
        </w:rPr>
        <w:t>)» и «</w:t>
      </w:r>
      <w:proofErr w:type="spellStart"/>
      <w:r w:rsidRPr="00A46F3D">
        <w:rPr>
          <w:rFonts w:ascii="Times New Roman" w:hAnsi="Times New Roman" w:cs="Times New Roman"/>
          <w:sz w:val="30"/>
          <w:szCs w:val="30"/>
        </w:rPr>
        <w:t>Хлорэтэн</w:t>
      </w:r>
      <w:proofErr w:type="spellEnd"/>
      <w:r w:rsidRPr="00A46F3D">
        <w:rPr>
          <w:rFonts w:ascii="Times New Roman" w:hAnsi="Times New Roman" w:cs="Times New Roman"/>
          <w:sz w:val="30"/>
          <w:szCs w:val="30"/>
        </w:rPr>
        <w:t xml:space="preserve"> (винилхлорид)» дополнить знаком «**»;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б) в позиции «Полиуретановые» после слова «</w:t>
      </w:r>
      <w:proofErr w:type="spellStart"/>
      <w:r w:rsidRPr="00A46F3D">
        <w:rPr>
          <w:rFonts w:ascii="Times New Roman" w:hAnsi="Times New Roman" w:cs="Times New Roman"/>
          <w:sz w:val="30"/>
          <w:szCs w:val="30"/>
        </w:rPr>
        <w:t>Толуилендиизоцианат</w:t>
      </w:r>
      <w:proofErr w:type="spellEnd"/>
      <w:r w:rsidRPr="00A46F3D">
        <w:rPr>
          <w:rFonts w:ascii="Times New Roman" w:hAnsi="Times New Roman" w:cs="Times New Roman"/>
          <w:sz w:val="30"/>
          <w:szCs w:val="30"/>
        </w:rPr>
        <w:t>» дополнить знаком «**»;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>в) дополнить примечанием со знаком «**» следующего содержания:</w:t>
      </w:r>
    </w:p>
    <w:p w:rsidR="00A46F3D" w:rsidRPr="00A46F3D" w:rsidRDefault="00A46F3D" w:rsidP="00A46F3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6F3D">
        <w:rPr>
          <w:rFonts w:ascii="Times New Roman" w:hAnsi="Times New Roman" w:cs="Times New Roman"/>
          <w:sz w:val="30"/>
          <w:szCs w:val="30"/>
        </w:rPr>
        <w:t xml:space="preserve">«**Содержание данного вещества определяется по истечении </w:t>
      </w:r>
      <w:r w:rsidRPr="00A46F3D">
        <w:rPr>
          <w:rFonts w:ascii="Times New Roman" w:hAnsi="Times New Roman" w:cs="Times New Roman"/>
          <w:sz w:val="30"/>
          <w:szCs w:val="30"/>
        </w:rPr>
        <w:br/>
        <w:t>12 месяцев со дня вступления в силу решения Коллегии Евразийской экономической комиссии о включении межгосударственных стандартов, содержащих правила и методы исследований (испытаний) и измерений данного вещества,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продукции легкой промышленности» (ТР ТС 017/2011) и осуществления оценки (подтверждения) соответствия продукции, утвержденный Решением Комиссии Таможенного союза от 9 декабря 2011 г. № 876.».</w:t>
      </w:r>
    </w:p>
    <w:p w:rsidR="00A46F3D" w:rsidRPr="00A46F3D" w:rsidRDefault="00A46F3D" w:rsidP="00A46F3D">
      <w:pPr>
        <w:pStyle w:val="3"/>
        <w:spacing w:line="360" w:lineRule="auto"/>
        <w:ind w:firstLine="709"/>
        <w:jc w:val="both"/>
        <w:rPr>
          <w:bCs/>
          <w:sz w:val="30"/>
          <w:szCs w:val="30"/>
        </w:rPr>
      </w:pPr>
      <w:r w:rsidRPr="00A46F3D">
        <w:rPr>
          <w:rFonts w:eastAsia="Calibri"/>
          <w:sz w:val="30"/>
          <w:szCs w:val="30"/>
          <w:lang w:eastAsia="en-US"/>
        </w:rPr>
        <w:t>7. </w:t>
      </w:r>
      <w:r w:rsidRPr="00A46F3D">
        <w:rPr>
          <w:bCs/>
          <w:sz w:val="30"/>
          <w:szCs w:val="30"/>
        </w:rPr>
        <w:t xml:space="preserve">В графе 3 позиции «Одежда и изделия из меха, шкурки меховые выделанные» Приложения 8 к указанному техническому регламенту для </w:t>
      </w:r>
      <w:r w:rsidRPr="00A46F3D">
        <w:rPr>
          <w:bCs/>
          <w:sz w:val="30"/>
          <w:szCs w:val="30"/>
        </w:rPr>
        <w:lastRenderedPageBreak/>
        <w:t>показателя свойств «Массовая доля водовымываемого хрома (VI), мг/кг» слова «не менее 3,0» заменить словами «не более 3,0».</w:t>
      </w:r>
    </w:p>
    <w:p w:rsidR="00A46F3D" w:rsidRPr="00A46F3D" w:rsidRDefault="00A46F3D" w:rsidP="00A46F3D">
      <w:pPr>
        <w:pStyle w:val="3"/>
        <w:ind w:firstLine="709"/>
        <w:rPr>
          <w:rFonts w:eastAsia="Calibri"/>
          <w:sz w:val="30"/>
          <w:szCs w:val="30"/>
          <w:lang w:eastAsia="en-US"/>
        </w:rPr>
      </w:pPr>
    </w:p>
    <w:p w:rsidR="00A46F3D" w:rsidRPr="00A46F3D" w:rsidRDefault="00A46F3D" w:rsidP="00A46F3D">
      <w:pPr>
        <w:pStyle w:val="3"/>
        <w:spacing w:line="360" w:lineRule="auto"/>
        <w:ind w:firstLine="0"/>
        <w:jc w:val="center"/>
        <w:rPr>
          <w:rFonts w:eastAsia="Calibri"/>
          <w:sz w:val="30"/>
          <w:szCs w:val="30"/>
          <w:lang w:eastAsia="en-US"/>
        </w:rPr>
      </w:pPr>
      <w:r w:rsidRPr="00A46F3D">
        <w:rPr>
          <w:rFonts w:eastAsia="Calibri"/>
          <w:sz w:val="30"/>
          <w:szCs w:val="30"/>
          <w:lang w:eastAsia="en-US"/>
        </w:rPr>
        <w:t>____________</w:t>
      </w:r>
    </w:p>
    <w:p w:rsidR="006F50EC" w:rsidRPr="00A46F3D" w:rsidRDefault="006F50EC" w:rsidP="004D35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F50EC" w:rsidRPr="00A46F3D" w:rsidSect="008B175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8C" w:rsidRDefault="00446B8C" w:rsidP="008B175E">
      <w:pPr>
        <w:spacing w:after="0" w:line="240" w:lineRule="auto"/>
      </w:pPr>
      <w:r>
        <w:separator/>
      </w:r>
    </w:p>
  </w:endnote>
  <w:endnote w:type="continuationSeparator" w:id="0">
    <w:p w:rsidR="00446B8C" w:rsidRDefault="00446B8C" w:rsidP="008B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8C" w:rsidRDefault="00446B8C" w:rsidP="008B175E">
      <w:pPr>
        <w:spacing w:after="0" w:line="240" w:lineRule="auto"/>
      </w:pPr>
      <w:r>
        <w:separator/>
      </w:r>
    </w:p>
  </w:footnote>
  <w:footnote w:type="continuationSeparator" w:id="0">
    <w:p w:rsidR="00446B8C" w:rsidRDefault="00446B8C" w:rsidP="008B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24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B175E" w:rsidRPr="008B175E" w:rsidRDefault="008B175E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175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175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175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C3409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8B175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B175E" w:rsidRDefault="008B17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09" w:rsidRPr="00661C47" w:rsidRDefault="00FC3409" w:rsidP="00FC3409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189C70" wp14:editId="0136417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FC3409" w:rsidRPr="0021649B" w:rsidRDefault="00FC3409" w:rsidP="00FC3409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FC3409" w:rsidRPr="0021649B" w:rsidRDefault="00FC3409" w:rsidP="00FC3409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b"/>
          <w:sz w:val="18"/>
          <w:szCs w:val="18"/>
          <w:lang w:val="en-US"/>
        </w:rPr>
        <w:t>www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FC3409" w:rsidRPr="0021649B" w:rsidRDefault="00FC3409" w:rsidP="00FC3409">
    <w:pPr>
      <w:pStyle w:val="a7"/>
      <w:rPr>
        <w:lang w:val="en-US"/>
      </w:rPr>
    </w:pPr>
  </w:p>
  <w:p w:rsidR="00FC3409" w:rsidRDefault="00FC34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65DD5"/>
    <w:rsid w:val="000B1B28"/>
    <w:rsid w:val="00101047"/>
    <w:rsid w:val="0010367C"/>
    <w:rsid w:val="001130AF"/>
    <w:rsid w:val="00143B53"/>
    <w:rsid w:val="00190A8F"/>
    <w:rsid w:val="001A0333"/>
    <w:rsid w:val="002D207E"/>
    <w:rsid w:val="003A7BCA"/>
    <w:rsid w:val="004079B6"/>
    <w:rsid w:val="00446B8C"/>
    <w:rsid w:val="004569FC"/>
    <w:rsid w:val="004D35D0"/>
    <w:rsid w:val="004F3203"/>
    <w:rsid w:val="0052082D"/>
    <w:rsid w:val="00523363"/>
    <w:rsid w:val="005C7814"/>
    <w:rsid w:val="005D3422"/>
    <w:rsid w:val="00606B1D"/>
    <w:rsid w:val="006535A4"/>
    <w:rsid w:val="006774D0"/>
    <w:rsid w:val="006F50EC"/>
    <w:rsid w:val="00735CA2"/>
    <w:rsid w:val="00830716"/>
    <w:rsid w:val="008B175E"/>
    <w:rsid w:val="00910002"/>
    <w:rsid w:val="009121D2"/>
    <w:rsid w:val="00934B9F"/>
    <w:rsid w:val="009E2DCF"/>
    <w:rsid w:val="00A07321"/>
    <w:rsid w:val="00A4629F"/>
    <w:rsid w:val="00A46F3D"/>
    <w:rsid w:val="00AA4C8E"/>
    <w:rsid w:val="00B63E2F"/>
    <w:rsid w:val="00B80ABA"/>
    <w:rsid w:val="00C600D5"/>
    <w:rsid w:val="00C67E60"/>
    <w:rsid w:val="00CB50AF"/>
    <w:rsid w:val="00CE320E"/>
    <w:rsid w:val="00DA2C20"/>
    <w:rsid w:val="00DB7649"/>
    <w:rsid w:val="00E320C9"/>
    <w:rsid w:val="00EF3A3E"/>
    <w:rsid w:val="00F254E6"/>
    <w:rsid w:val="00F50112"/>
    <w:rsid w:val="00F54793"/>
    <w:rsid w:val="00F55E0E"/>
    <w:rsid w:val="00F77CDC"/>
    <w:rsid w:val="00FC3409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9E21E"/>
  <w15:docId w15:val="{985B86B1-D2BC-4640-AC10-3638D53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NoSpacing1">
    <w:name w:val="No Spacing1"/>
    <w:rsid w:val="00606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606B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4D3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75E"/>
  </w:style>
  <w:style w:type="paragraph" w:styleId="a9">
    <w:name w:val="footer"/>
    <w:basedOn w:val="a"/>
    <w:link w:val="aa"/>
    <w:uiPriority w:val="99"/>
    <w:unhideWhenUsed/>
    <w:rsid w:val="008B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75E"/>
  </w:style>
  <w:style w:type="paragraph" w:styleId="3">
    <w:name w:val="Body Text Indent 3"/>
    <w:basedOn w:val="a"/>
    <w:link w:val="30"/>
    <w:rsid w:val="00A46F3D"/>
    <w:pPr>
      <w:spacing w:after="0" w:line="240" w:lineRule="auto"/>
      <w:ind w:hanging="163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6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46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5">
    <w:name w:val="Char Style 15"/>
    <w:link w:val="Style14"/>
    <w:rsid w:val="00A46F3D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rsid w:val="00A46F3D"/>
    <w:pPr>
      <w:widowControl w:val="0"/>
      <w:shd w:val="clear" w:color="auto" w:fill="FFFFFF"/>
      <w:spacing w:before="720" w:after="0" w:line="354" w:lineRule="exact"/>
    </w:pPr>
    <w:rPr>
      <w:sz w:val="23"/>
      <w:szCs w:val="23"/>
    </w:rPr>
  </w:style>
  <w:style w:type="character" w:customStyle="1" w:styleId="CharStyle19">
    <w:name w:val="Char Style 19"/>
    <w:link w:val="Style12"/>
    <w:rsid w:val="00A46F3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12">
    <w:name w:val="Style 12"/>
    <w:basedOn w:val="a"/>
    <w:link w:val="CharStyle19"/>
    <w:rsid w:val="00A46F3D"/>
    <w:pPr>
      <w:widowControl w:val="0"/>
      <w:shd w:val="clear" w:color="auto" w:fill="FFFFFF"/>
      <w:spacing w:after="0" w:line="244" w:lineRule="exact"/>
    </w:pPr>
    <w:rPr>
      <w:rFonts w:ascii="Arial" w:eastAsia="Arial" w:hAnsi="Arial" w:cs="Arial"/>
      <w:sz w:val="21"/>
      <w:szCs w:val="21"/>
    </w:rPr>
  </w:style>
  <w:style w:type="character" w:styleId="ab">
    <w:name w:val="Hyperlink"/>
    <w:basedOn w:val="a0"/>
    <w:uiPriority w:val="99"/>
    <w:unhideWhenUsed/>
    <w:rsid w:val="00FC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BE61-8636-498A-8B20-0BF1FCE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971</Words>
  <Characters>7096</Characters>
  <Application>Microsoft Office Word</Application>
  <DocSecurity>0</DocSecurity>
  <Lines>129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Жилін Михайло Володимирович</cp:lastModifiedBy>
  <cp:revision>3</cp:revision>
  <cp:lastPrinted>2016-09-28T11:36:00Z</cp:lastPrinted>
  <dcterms:created xsi:type="dcterms:W3CDTF">2016-09-29T08:35:00Z</dcterms:created>
  <dcterms:modified xsi:type="dcterms:W3CDTF">2016-09-29T08:45:00Z</dcterms:modified>
</cp:coreProperties>
</file>